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id w:val="684632634"/>
      </w:sdtPr>
      <w:sdtEndPr>
        <w:rPr>
          <w:sz w:val="22"/>
        </w:rPr>
      </w:sdtEndPr>
      <w:sdtContent>
        <w:p>
          <w:r>
            <w:pict>
              <v:shape id="_x0000_s1026" o:spid="_x0000_s1026" o:spt="202" type="#_x0000_t202" style="position:absolute;left:0pt;margin-left:7.2pt;margin-top:10.35pt;height:27.6pt;width:303.85pt;z-index:251684864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">
                <v:path/>
                <v:fill on="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pStyle w:val="15"/>
                        <w:spacing w:line="320" w:lineRule="exact"/>
                      </w:pPr>
                      <w:r>
                        <w:rPr>
                          <w:rFonts w:hint="eastAsia" w:ascii="隶书" w:hAnsi="Cambria" w:eastAsia="隶书"/>
                          <w:b/>
                          <w:color w:val="FFFFFF"/>
                          <w:sz w:val="36"/>
                          <w:szCs w:val="32"/>
                          <w:lang w:val="en-US" w:eastAsia="zh-CN"/>
                        </w:rPr>
                        <w:t>DN-T4000A/XY</w:t>
                      </w:r>
                      <w:r>
                        <w:rPr>
                          <w:rFonts w:hint="eastAsia" w:ascii="隶书" w:hAnsi="Cambria" w:eastAsia="隶书"/>
                          <w:b/>
                          <w:color w:val="FFFFFF"/>
                          <w:sz w:val="36"/>
                          <w:szCs w:val="32"/>
                        </w:rPr>
                        <w:t>系列</w:t>
                      </w:r>
                      <w:r>
                        <w:rPr>
                          <w:rFonts w:hint="eastAsia" w:ascii="华文新魏" w:hAnsi="Cambria" w:eastAsia="华文新魏"/>
                          <w:b/>
                          <w:color w:val="FFFFFF"/>
                          <w:sz w:val="36"/>
                          <w:szCs w:val="32"/>
                        </w:rPr>
                        <w:t>点型气体探测器</w:t>
                      </w:r>
                    </w:p>
                  </w:txbxContent>
                </v:textbox>
              </v:shape>
            </w:pict>
          </w:r>
          <w:r>
            <w:pict>
              <v:rect id="矩形 6" o:spid="_x0000_s1027" o:spt="1" style="position:absolute;left:0pt;margin-left:-29.6pt;margin-top:-34.7pt;height:174.45pt;width:437.75pt;mso-position-horizontal-relative:margin;mso-position-vertical-relative:margin;z-index:-251636736;v-text-anchor:bottom;mso-width-relative:margin;mso-height-relative:margin;" fillcolor="#333333 [2576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">
                <v:path/>
                <v:fill type="gradientRadial" on="t" color2="#000000 [960]" focus="100%" focussize="0f,0f" focusposition="32768f,32768f" rotate="t">
                  <o:fill type="gradientRadial" v:ext="backwardCompatible"/>
                </v:fill>
                <v:stroke on="f"/>
                <v:imagedata o:title=""/>
                <o:lock v:ext="edit"/>
                <v:textbox inset="6.35mm,1.27mm,38.1mm,2.54mm">
                  <w:txbxContent>
                    <w:p>
                      <w:pPr>
                        <w:pStyle w:val="15"/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</v:rect>
            </w:pict>
          </w:r>
        </w:p>
        <w:p/>
        <w:p/>
        <w:p/>
        <w:p>
          <w:pPr>
            <w:widowControl/>
            <w:jc w:val="left"/>
            <w:rPr>
              <w:sz w:val="22"/>
            </w:rPr>
          </w:pPr>
          <w:r>
            <w:pict>
              <v:shape id="文本框 12" o:spid="_x0000_s1028" o:spt="202" type="#_x0000_t202" style="position:absolute;left:0pt;margin-left:166.55pt;margin-top:193.9pt;height:67.25pt;width:209.1pt;mso-position-horizontal-relative:page;mso-position-vertical-relative:page;z-index:251688960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">
                <v:path/>
                <v:fill on="f" focussize="0,0"/>
                <v:stroke on="f" weight="0.5pt" joinstyle="miter"/>
                <v:imagedata o:title=""/>
                <o:lock v:ext="edit"/>
                <v:textbox inset="2.54mm,5.08mm,2.54mm,2.54mm">
                  <w:txbxContent>
                    <w:p>
                      <w:pPr>
                        <w:rPr>
                          <w:rFonts w:ascii="华文隶书" w:hAnsi="Cambria" w:eastAsia="华文隶书"/>
                          <w:color w:val="1F497D"/>
                          <w:sz w:val="32"/>
                          <w:szCs w:val="40"/>
                        </w:rPr>
                      </w:pPr>
                      <w:r>
                        <w:rPr>
                          <w:rFonts w:hint="eastAsia" w:ascii="华文隶书" w:hAnsi="Cambria" w:eastAsia="华文隶书"/>
                          <w:sz w:val="32"/>
                          <w:szCs w:val="40"/>
                          <w:lang w:val="en-US" w:eastAsia="zh-CN"/>
                        </w:rPr>
                        <w:t>济南鼎诺</w:t>
                      </w:r>
                      <w:r>
                        <w:rPr>
                          <w:rFonts w:hint="eastAsia" w:ascii="华文隶书" w:hAnsi="Cambria" w:eastAsia="华文隶书"/>
                          <w:sz w:val="32"/>
                          <w:szCs w:val="40"/>
                        </w:rPr>
                        <w:t>科技有限公司</w:t>
                      </w:r>
                    </w:p>
                    <w:p>
                      <w:pPr>
                        <w:ind w:firstLine="120" w:firstLineChars="50"/>
                        <w:rPr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w:r>
          <w:r>
            <w:pict>
              <v:shape id="文本框 6" o:spid="_x0000_s1029" o:spt="202" type="#_x0000_t202" style="position:absolute;left:0pt;margin-left:67.7pt;margin-top:5.5pt;height:71.4pt;width:246.5pt;z-index:251686912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">
                <v:path/>
                <v:fill on="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hint="eastAsia" w:ascii="华文彩云" w:hAnsi="Cambria" w:eastAsia="华文彩云"/>
                          <w:b/>
                          <w:color w:val="FFFFFF" w:themeColor="background1"/>
                          <w:sz w:val="56"/>
                          <w:szCs w:val="32"/>
                        </w:rPr>
                        <w:t>使 用 说 明 书</w:t>
                      </w:r>
                    </w:p>
                  </w:txbxContent>
                </v:textbox>
              </v:shape>
            </w:pict>
          </w:r>
          <w:r>
            <w:rPr>
              <w:sz w:val="22"/>
            </w:rPr>
            <w:br w:type="page"/>
          </w:r>
          <w:bookmarkStart w:id="14" w:name="_GoBack"/>
          <w:bookmarkEnd w:id="14"/>
        </w:p>
      </w:sdtContent>
    </w:sdt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  <w:r>
        <w:drawing>
          <wp:inline distT="0" distB="0" distL="0" distR="0">
            <wp:extent cx="195580" cy="161925"/>
            <wp:effectExtent l="0" t="0" r="0" b="9525"/>
            <wp:docPr id="2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  <w:sz w:val="18"/>
        </w:rPr>
        <w:t>注意事项</w:t>
      </w:r>
    </w:p>
    <w:p>
      <w:pPr>
        <w:widowControl/>
        <w:ind w:left="210" w:leftChars="100"/>
        <w:rPr>
          <w:rFonts w:cs="Times New Roman" w:asciiTheme="minorEastAsia" w:hAnsiTheme="minorEastAsia"/>
          <w:sz w:val="16"/>
          <w:szCs w:val="18"/>
        </w:rPr>
      </w:pPr>
      <w:r>
        <w:rPr>
          <w:rFonts w:hint="eastAsia" w:cs="Times New Roman" w:asciiTheme="minorEastAsia" w:hAnsiTheme="minorEastAsia"/>
          <w:sz w:val="16"/>
          <w:szCs w:val="18"/>
        </w:rPr>
        <w:t>探测器安装、操作和维护之前务必仔细阅读产品使用说明书。</w:t>
      </w:r>
    </w:p>
    <w:p>
      <w:pPr>
        <w:widowControl/>
        <w:ind w:left="210" w:leftChars="100"/>
        <w:rPr>
          <w:rFonts w:cs="Times New Roman" w:asciiTheme="minorEastAsia" w:hAnsiTheme="minorEastAsia"/>
          <w:sz w:val="16"/>
          <w:szCs w:val="18"/>
        </w:rPr>
      </w:pPr>
      <w:r>
        <w:rPr>
          <w:rFonts w:hint="eastAsia" w:cs="Times New Roman" w:asciiTheme="minorEastAsia" w:hAnsiTheme="minorEastAsia"/>
          <w:sz w:val="16"/>
          <w:szCs w:val="18"/>
        </w:rPr>
        <w:t>安装及操作必须严格遵守国家相关标准。</w:t>
      </w:r>
    </w:p>
    <w:p>
      <w:pPr>
        <w:widowControl/>
        <w:ind w:left="210" w:leftChars="100"/>
        <w:rPr>
          <w:rFonts w:cs="Times New Roman" w:asciiTheme="minorEastAsia" w:hAnsiTheme="minorEastAsia"/>
          <w:sz w:val="16"/>
          <w:szCs w:val="18"/>
        </w:rPr>
      </w:pPr>
      <w:r>
        <w:rPr>
          <w:rFonts w:hint="eastAsia" w:cs="Times New Roman" w:asciiTheme="minorEastAsia" w:hAnsiTheme="minorEastAsia"/>
          <w:sz w:val="16"/>
          <w:szCs w:val="18"/>
        </w:rPr>
        <w:t>探测器的任何操作都必须由专业人员执行。</w:t>
      </w:r>
    </w:p>
    <w:p>
      <w:pPr>
        <w:widowControl/>
        <w:ind w:left="210" w:leftChars="100"/>
        <w:rPr>
          <w:rFonts w:cs="Times New Roman" w:asciiTheme="minorEastAsia" w:hAnsiTheme="minorEastAsia"/>
          <w:sz w:val="16"/>
          <w:szCs w:val="18"/>
        </w:rPr>
      </w:pPr>
      <w:r>
        <w:rPr>
          <w:rFonts w:hint="eastAsia" w:cs="Times New Roman" w:asciiTheme="minorEastAsia" w:hAnsiTheme="minorEastAsia"/>
          <w:sz w:val="16"/>
          <w:szCs w:val="18"/>
        </w:rPr>
        <w:t>严禁带电操作（如安装、零部件更换等）</w:t>
      </w:r>
    </w:p>
    <w:p>
      <w:pPr>
        <w:widowControl/>
        <w:ind w:left="210" w:leftChars="100"/>
        <w:rPr>
          <w:rFonts w:cs="Times New Roman" w:asciiTheme="minorEastAsia" w:hAnsiTheme="minorEastAsia"/>
          <w:sz w:val="16"/>
          <w:szCs w:val="18"/>
        </w:rPr>
      </w:pPr>
      <w:r>
        <w:rPr>
          <w:rFonts w:hint="eastAsia" w:cs="Times New Roman" w:asciiTheme="minorEastAsia" w:hAnsiTheme="minorEastAsia"/>
          <w:sz w:val="16"/>
          <w:szCs w:val="18"/>
        </w:rPr>
        <w:t>探测器必须安全接地，以防受到射频干扰的影响。</w:t>
      </w:r>
    </w:p>
    <w:p>
      <w:pPr>
        <w:widowControl/>
        <w:ind w:left="210" w:leftChars="100"/>
        <w:rPr>
          <w:rFonts w:cs="Times New Roman" w:asciiTheme="minorEastAsia" w:hAnsiTheme="minorEastAsia"/>
          <w:sz w:val="16"/>
          <w:szCs w:val="18"/>
        </w:rPr>
      </w:pPr>
      <w:r>
        <w:rPr>
          <w:rFonts w:hint="eastAsia" w:cs="Times New Roman" w:asciiTheme="minorEastAsia" w:hAnsiTheme="minorEastAsia"/>
          <w:sz w:val="16"/>
          <w:szCs w:val="18"/>
        </w:rPr>
        <w:t>传感器内部可能含有腐蚀性溶液，处理时应特别小心。</w:t>
      </w:r>
    </w:p>
    <w:p>
      <w:pPr>
        <w:widowControl/>
        <w:ind w:left="210" w:leftChars="100"/>
        <w:rPr>
          <w:rFonts w:cs="Times New Roman" w:asciiTheme="minorEastAsia" w:hAnsiTheme="minorEastAsia"/>
          <w:sz w:val="16"/>
          <w:szCs w:val="18"/>
        </w:rPr>
      </w:pPr>
      <w:r>
        <w:rPr>
          <w:rFonts w:hint="eastAsia" w:cs="Times New Roman" w:asciiTheme="minorEastAsia" w:hAnsiTheme="minorEastAsia"/>
          <w:sz w:val="16"/>
          <w:szCs w:val="18"/>
        </w:rPr>
        <w:t>切勿擅自拆卸传感器。</w:t>
      </w:r>
    </w:p>
    <w:p>
      <w:pPr>
        <w:widowControl/>
        <w:ind w:left="210" w:leftChars="100"/>
        <w:rPr>
          <w:rFonts w:cs="Times New Roman" w:asciiTheme="minorEastAsia" w:hAnsiTheme="minorEastAsia"/>
          <w:sz w:val="16"/>
          <w:szCs w:val="18"/>
        </w:rPr>
      </w:pPr>
      <w:r>
        <w:rPr>
          <w:rFonts w:hint="eastAsia" w:cs="Times New Roman" w:asciiTheme="minorEastAsia" w:hAnsiTheme="minorEastAsia"/>
          <w:sz w:val="16"/>
          <w:szCs w:val="18"/>
        </w:rPr>
        <w:t>切勿将探测器置于超范围的温度下工作。</w:t>
      </w:r>
    </w:p>
    <w:p>
      <w:pPr>
        <w:widowControl/>
        <w:ind w:left="210" w:leftChars="100"/>
        <w:rPr>
          <w:rFonts w:cs="Times New Roman" w:asciiTheme="minorEastAsia" w:hAnsiTheme="minorEastAsia"/>
          <w:sz w:val="16"/>
          <w:szCs w:val="18"/>
        </w:rPr>
      </w:pPr>
      <w:r>
        <w:rPr>
          <w:rFonts w:hint="eastAsia" w:cs="Times New Roman" w:asciiTheme="minorEastAsia" w:hAnsiTheme="minorEastAsia"/>
          <w:sz w:val="16"/>
          <w:szCs w:val="18"/>
        </w:rPr>
        <w:t>传感器禁止高浓度气体的冲击。</w:t>
      </w:r>
    </w:p>
    <w:p>
      <w:pPr>
        <w:widowControl/>
        <w:ind w:left="210" w:leftChars="100"/>
        <w:jc w:val="left"/>
        <w:rPr>
          <w:rFonts w:asciiTheme="minorEastAsia" w:hAnsiTheme="minorEastAsia"/>
          <w:sz w:val="20"/>
        </w:rPr>
      </w:pPr>
      <w:r>
        <w:rPr>
          <w:rFonts w:hint="eastAsia" w:cs="Times New Roman" w:asciiTheme="minorEastAsia" w:hAnsiTheme="minorEastAsia"/>
          <w:sz w:val="16"/>
          <w:szCs w:val="18"/>
        </w:rPr>
        <w:t>传感器使用寿命到期时，应及时更换传感器。</w:t>
      </w:r>
    </w:p>
    <w:p>
      <w:pPr>
        <w:jc w:val="center"/>
        <w:rPr>
          <w:sz w:val="22"/>
        </w:rPr>
      </w:pPr>
    </w:p>
    <w:p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sdt>
      <w:sdt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1"/>
          <w:szCs w:val="22"/>
          <w:lang w:val="zh-CN"/>
        </w:rPr>
        <w:id w:val="19055615"/>
      </w:sdtPr>
      <w:sdtEnd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1"/>
          <w:szCs w:val="22"/>
          <w:lang w:val="en-US"/>
        </w:rPr>
      </w:sdtEndPr>
      <w:sdtContent>
        <w:p>
          <w:pPr>
            <w:pStyle w:val="18"/>
            <w:rPr>
              <w:sz w:val="18"/>
              <w:szCs w:val="18"/>
            </w:rPr>
          </w:pPr>
          <w:r>
            <w:rPr>
              <w:sz w:val="24"/>
              <w:szCs w:val="24"/>
              <w:lang w:val="zh-CN"/>
            </w:rPr>
            <w:t>目录</w:t>
          </w:r>
        </w:p>
        <w:p>
          <w:pPr>
            <w:pStyle w:val="6"/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TOC \o "1-3" \h \z \u </w:instrText>
          </w:r>
          <w:r>
            <w:rPr>
              <w:sz w:val="18"/>
              <w:szCs w:val="18"/>
            </w:rPr>
            <w:fldChar w:fldCharType="separate"/>
          </w:r>
          <w:r>
            <w:fldChar w:fldCharType="begin"/>
          </w:r>
          <w:r>
            <w:instrText xml:space="preserve"> HYPERLINK \l "_Toc426986410" </w:instrText>
          </w:r>
          <w:r>
            <w:fldChar w:fldCharType="separate"/>
          </w:r>
          <w:r>
            <w:rPr>
              <w:rStyle w:val="8"/>
            </w:rPr>
            <w:t>1.</w:t>
          </w:r>
          <w:r>
            <w:tab/>
          </w:r>
          <w:r>
            <w:rPr>
              <w:rStyle w:val="8"/>
              <w:rFonts w:hint="eastAsia"/>
            </w:rPr>
            <w:t>概述：</w:t>
          </w:r>
          <w:r>
            <w:tab/>
          </w:r>
          <w:r>
            <w:fldChar w:fldCharType="begin"/>
          </w:r>
          <w:r>
            <w:instrText xml:space="preserve"> PAGEREF _Toc426986410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6"/>
          </w:pPr>
          <w:r>
            <w:fldChar w:fldCharType="begin"/>
          </w:r>
          <w:r>
            <w:instrText xml:space="preserve"> HYPERLINK \l "_Toc426986411" </w:instrText>
          </w:r>
          <w:r>
            <w:fldChar w:fldCharType="separate"/>
          </w:r>
          <w:r>
            <w:rPr>
              <w:rStyle w:val="8"/>
            </w:rPr>
            <w:t>2.</w:t>
          </w:r>
          <w:r>
            <w:tab/>
          </w:r>
          <w:r>
            <w:rPr>
              <w:rStyle w:val="8"/>
              <w:rFonts w:hint="eastAsia"/>
            </w:rPr>
            <w:t>部件说明：</w:t>
          </w:r>
          <w:r>
            <w:tab/>
          </w:r>
          <w:r>
            <w:fldChar w:fldCharType="begin"/>
          </w:r>
          <w:r>
            <w:instrText xml:space="preserve"> PAGEREF _Toc426986411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6"/>
          </w:pPr>
          <w:r>
            <w:fldChar w:fldCharType="begin"/>
          </w:r>
          <w:r>
            <w:instrText xml:space="preserve"> HYPERLINK \l "_Toc426986412" </w:instrText>
          </w:r>
          <w:r>
            <w:fldChar w:fldCharType="separate"/>
          </w:r>
          <w:r>
            <w:rPr>
              <w:rStyle w:val="8"/>
            </w:rPr>
            <w:t>3.</w:t>
          </w:r>
          <w:r>
            <w:tab/>
          </w:r>
          <w:r>
            <w:rPr>
              <w:rStyle w:val="8"/>
              <w:rFonts w:hint="eastAsia"/>
            </w:rPr>
            <w:t>遥控器说明：</w:t>
          </w:r>
          <w:r>
            <w:tab/>
          </w:r>
          <w:r>
            <w:fldChar w:fldCharType="begin"/>
          </w:r>
          <w:r>
            <w:instrText xml:space="preserve"> PAGEREF _Toc426986412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6"/>
          </w:pPr>
          <w:r>
            <w:fldChar w:fldCharType="begin"/>
          </w:r>
          <w:r>
            <w:instrText xml:space="preserve"> HYPERLINK \l "_Toc426986413" </w:instrText>
          </w:r>
          <w:r>
            <w:fldChar w:fldCharType="separate"/>
          </w:r>
          <w:r>
            <w:rPr>
              <w:rStyle w:val="8"/>
            </w:rPr>
            <w:t>4.</w:t>
          </w:r>
          <w:r>
            <w:tab/>
          </w:r>
          <w:r>
            <w:rPr>
              <w:rStyle w:val="8"/>
              <w:rFonts w:hint="eastAsia"/>
            </w:rPr>
            <w:t>操作说明：</w:t>
          </w:r>
          <w:r>
            <w:tab/>
          </w:r>
          <w:r>
            <w:fldChar w:fldCharType="begin"/>
          </w:r>
          <w:r>
            <w:instrText xml:space="preserve"> PAGEREF _Toc426986413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6"/>
          </w:pPr>
          <w:r>
            <w:fldChar w:fldCharType="begin"/>
          </w:r>
          <w:r>
            <w:instrText xml:space="preserve"> HYPERLINK \l "_Toc426986414" </w:instrText>
          </w:r>
          <w:r>
            <w:fldChar w:fldCharType="separate"/>
          </w:r>
          <w:r>
            <w:rPr>
              <w:rStyle w:val="8"/>
            </w:rPr>
            <w:t>5.</w:t>
          </w:r>
          <w:r>
            <w:tab/>
          </w:r>
          <w:r>
            <w:rPr>
              <w:rStyle w:val="8"/>
              <w:rFonts w:hint="eastAsia"/>
            </w:rPr>
            <w:t>参数说明：</w:t>
          </w:r>
          <w:r>
            <w:tab/>
          </w:r>
          <w:r>
            <w:fldChar w:fldCharType="begin"/>
          </w:r>
          <w:r>
            <w:instrText xml:space="preserve"> PAGEREF _Toc426986414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6"/>
          </w:pPr>
          <w:r>
            <w:fldChar w:fldCharType="begin"/>
          </w:r>
          <w:r>
            <w:instrText xml:space="preserve"> HYPERLINK \l "_Toc426986415" </w:instrText>
          </w:r>
          <w:r>
            <w:fldChar w:fldCharType="separate"/>
          </w:r>
          <w:r>
            <w:rPr>
              <w:rStyle w:val="8"/>
            </w:rPr>
            <w:t>6.</w:t>
          </w:r>
          <w:r>
            <w:tab/>
          </w:r>
          <w:r>
            <w:rPr>
              <w:rStyle w:val="8"/>
              <w:rFonts w:hint="eastAsia"/>
            </w:rPr>
            <w:t>常见气体说明：</w:t>
          </w:r>
          <w:r>
            <w:tab/>
          </w:r>
          <w:r>
            <w:fldChar w:fldCharType="begin"/>
          </w:r>
          <w:r>
            <w:instrText xml:space="preserve"> PAGEREF _Toc426986415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6"/>
          </w:pPr>
          <w:r>
            <w:fldChar w:fldCharType="begin"/>
          </w:r>
          <w:r>
            <w:instrText xml:space="preserve"> HYPERLINK \l "_Toc426986416" </w:instrText>
          </w:r>
          <w:r>
            <w:fldChar w:fldCharType="separate"/>
          </w:r>
          <w:r>
            <w:rPr>
              <w:rStyle w:val="8"/>
            </w:rPr>
            <w:t>7.</w:t>
          </w:r>
          <w:r>
            <w:tab/>
          </w:r>
          <w:r>
            <w:rPr>
              <w:rStyle w:val="8"/>
              <w:rFonts w:hint="eastAsia"/>
            </w:rPr>
            <w:t>产品尺寸</w:t>
          </w:r>
          <w:r>
            <w:tab/>
          </w:r>
          <w:r>
            <w:fldChar w:fldCharType="begin"/>
          </w:r>
          <w:r>
            <w:instrText xml:space="preserve"> PAGEREF _Toc426986416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6"/>
          </w:pPr>
          <w:r>
            <w:fldChar w:fldCharType="begin"/>
          </w:r>
          <w:r>
            <w:instrText xml:space="preserve"> HYPERLINK \l "_Toc426986417" </w:instrText>
          </w:r>
          <w:r>
            <w:fldChar w:fldCharType="separate"/>
          </w:r>
          <w:r>
            <w:rPr>
              <w:rStyle w:val="8"/>
            </w:rPr>
            <w:t>8.</w:t>
          </w:r>
          <w:r>
            <w:tab/>
          </w:r>
          <w:r>
            <w:rPr>
              <w:rStyle w:val="8"/>
              <w:rFonts w:hint="eastAsia"/>
            </w:rPr>
            <w:t>产品安装：</w:t>
          </w:r>
          <w:r>
            <w:tab/>
          </w:r>
          <w:r>
            <w:fldChar w:fldCharType="begin"/>
          </w:r>
          <w:r>
            <w:instrText xml:space="preserve"> PAGEREF _Toc426986417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6"/>
          </w:pPr>
          <w:r>
            <w:fldChar w:fldCharType="begin"/>
          </w:r>
          <w:r>
            <w:instrText xml:space="preserve"> HYPERLINK \l "_Toc426986418" </w:instrText>
          </w:r>
          <w:r>
            <w:fldChar w:fldCharType="separate"/>
          </w:r>
          <w:r>
            <w:rPr>
              <w:rStyle w:val="8"/>
            </w:rPr>
            <w:t>9.</w:t>
          </w:r>
          <w:r>
            <w:tab/>
          </w:r>
          <w:r>
            <w:rPr>
              <w:rStyle w:val="8"/>
              <w:rFonts w:hint="eastAsia"/>
            </w:rPr>
            <w:t>接线端子说明</w:t>
          </w:r>
          <w:r>
            <w:tab/>
          </w:r>
          <w:r>
            <w:fldChar w:fldCharType="begin"/>
          </w:r>
          <w:r>
            <w:instrText xml:space="preserve"> PAGEREF _Toc426986418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6"/>
          </w:pPr>
          <w:r>
            <w:fldChar w:fldCharType="begin"/>
          </w:r>
          <w:r>
            <w:instrText xml:space="preserve"> HYPERLINK \l "_Toc426986419" </w:instrText>
          </w:r>
          <w:r>
            <w:fldChar w:fldCharType="separate"/>
          </w:r>
          <w:r>
            <w:rPr>
              <w:rStyle w:val="8"/>
            </w:rPr>
            <w:t>10.</w:t>
          </w:r>
          <w:r>
            <w:tab/>
          </w:r>
          <w:r>
            <w:rPr>
              <w:rStyle w:val="8"/>
              <w:rFonts w:hint="eastAsia"/>
            </w:rPr>
            <w:t>安装原则：</w:t>
          </w:r>
          <w:r>
            <w:tab/>
          </w:r>
          <w:r>
            <w:fldChar w:fldCharType="begin"/>
          </w:r>
          <w:r>
            <w:instrText xml:space="preserve"> PAGEREF _Toc426986419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6"/>
          </w:pPr>
          <w:r>
            <w:fldChar w:fldCharType="begin"/>
          </w:r>
          <w:r>
            <w:instrText xml:space="preserve"> HYPERLINK \l "_Toc426986420" </w:instrText>
          </w:r>
          <w:r>
            <w:fldChar w:fldCharType="separate"/>
          </w:r>
          <w:r>
            <w:rPr>
              <w:rStyle w:val="8"/>
            </w:rPr>
            <w:t>11.</w:t>
          </w:r>
          <w:r>
            <w:tab/>
          </w:r>
          <w:r>
            <w:rPr>
              <w:rStyle w:val="8"/>
              <w:rFonts w:hint="eastAsia"/>
            </w:rPr>
            <w:t>故障排除：</w:t>
          </w:r>
          <w:r>
            <w:tab/>
          </w:r>
          <w:r>
            <w:fldChar w:fldCharType="begin"/>
          </w:r>
          <w:r>
            <w:instrText xml:space="preserve"> PAGEREF _Toc426986420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6"/>
          </w:pPr>
          <w:r>
            <w:fldChar w:fldCharType="begin"/>
          </w:r>
          <w:r>
            <w:instrText xml:space="preserve"> HYPERLINK \l "_Toc426986421" </w:instrText>
          </w:r>
          <w:r>
            <w:fldChar w:fldCharType="separate"/>
          </w:r>
          <w:r>
            <w:rPr>
              <w:rStyle w:val="8"/>
            </w:rPr>
            <w:t>12.</w:t>
          </w:r>
          <w:r>
            <w:tab/>
          </w:r>
          <w:r>
            <w:rPr>
              <w:rStyle w:val="8"/>
              <w:rFonts w:hint="eastAsia"/>
            </w:rPr>
            <w:t>服务承诺：</w:t>
          </w:r>
          <w:r>
            <w:tab/>
          </w:r>
          <w:r>
            <w:fldChar w:fldCharType="begin"/>
          </w:r>
          <w:r>
            <w:instrText xml:space="preserve"> PAGEREF _Toc426986421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spacing w:line="276" w:lineRule="auto"/>
          </w:pPr>
          <w:r>
            <w:rPr>
              <w:sz w:val="18"/>
              <w:szCs w:val="18"/>
            </w:rPr>
            <w:fldChar w:fldCharType="end"/>
          </w:r>
        </w:p>
      </w:sdtContent>
    </w:sdt>
    <w:p>
      <w:pPr>
        <w:pStyle w:val="2"/>
      </w:pPr>
      <w:bookmarkStart w:id="0" w:name="_Toc426986410"/>
      <w:r>
        <w:rPr>
          <w:rFonts w:hint="eastAsia"/>
        </w:rPr>
        <w:t>概述：</w:t>
      </w:r>
      <w:bookmarkEnd w:id="0"/>
    </w:p>
    <w:p>
      <w:pPr>
        <w:spacing w:line="360" w:lineRule="exact"/>
        <w:ind w:firstLine="320" w:firstLineChars="200"/>
        <w:rPr>
          <w:rFonts w:ascii="Times New Roman" w:hAnsi="Times New Roman" w:eastAsia="宋体" w:cs="Times New Roman"/>
          <w:sz w:val="16"/>
          <w:szCs w:val="16"/>
        </w:rPr>
      </w:pPr>
      <w:r>
        <w:rPr>
          <w:rFonts w:hint="eastAsia" w:ascii="Times New Roman" w:hAnsi="Times New Roman" w:eastAsia="宋体" w:cs="Times New Roman"/>
          <w:sz w:val="16"/>
          <w:szCs w:val="16"/>
          <w:lang w:val="en-US" w:eastAsia="zh-CN"/>
        </w:rPr>
        <w:t>DN-T4000A/XY</w:t>
      </w:r>
      <w:r>
        <w:rPr>
          <w:rFonts w:hint="eastAsia" w:ascii="Times New Roman" w:hAnsi="Times New Roman" w:eastAsia="宋体" w:cs="Times New Roman"/>
          <w:sz w:val="16"/>
          <w:szCs w:val="16"/>
        </w:rPr>
        <w:t>系列气体探测器，包含以下产品信息：</w:t>
      </w:r>
    </w:p>
    <w:p>
      <w:pPr>
        <w:pStyle w:val="13"/>
        <w:numPr>
          <w:ilvl w:val="0"/>
          <w:numId w:val="2"/>
        </w:numPr>
        <w:spacing w:line="360" w:lineRule="exact"/>
        <w:ind w:firstLineChars="0"/>
        <w:rPr>
          <w:rFonts w:ascii="Times New Roman" w:hAnsi="Times New Roman" w:eastAsia="宋体" w:cs="Times New Roman"/>
          <w:sz w:val="16"/>
          <w:szCs w:val="16"/>
        </w:rPr>
      </w:pPr>
      <w:r>
        <w:rPr>
          <w:rFonts w:hint="eastAsia" w:ascii="Times New Roman" w:hAnsi="Times New Roman" w:eastAsia="宋体" w:cs="Times New Roman"/>
          <w:sz w:val="16"/>
          <w:szCs w:val="16"/>
          <w:lang w:val="en-US" w:eastAsia="zh-CN"/>
        </w:rPr>
        <w:t>DN-T4000A/XY</w:t>
      </w:r>
      <w:r>
        <w:rPr>
          <w:rFonts w:hint="eastAsia" w:ascii="Times New Roman" w:hAnsi="Times New Roman" w:eastAsia="宋体" w:cs="Times New Roman"/>
          <w:sz w:val="16"/>
          <w:szCs w:val="16"/>
        </w:rPr>
        <w:t>型</w:t>
      </w:r>
      <w:r>
        <w:rPr>
          <w:rFonts w:ascii="Times New Roman" w:hAnsi="Times New Roman" w:eastAsia="宋体" w:cs="Times New Roman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sz w:val="16"/>
          <w:szCs w:val="16"/>
        </w:rPr>
        <w:t>测量范围为</w:t>
      </w:r>
      <w:r>
        <w:rPr>
          <w:rFonts w:ascii="Times New Roman" w:hAnsi="Times New Roman" w:eastAsia="宋体" w:cs="Times New Roman"/>
          <w:sz w:val="16"/>
          <w:szCs w:val="16"/>
        </w:rPr>
        <w:t>0</w:t>
      </w:r>
      <w:r>
        <w:rPr>
          <w:rFonts w:hint="eastAsia" w:ascii="Times New Roman" w:hAnsi="Times New Roman" w:eastAsia="宋体" w:cs="Times New Roman"/>
          <w:sz w:val="16"/>
          <w:szCs w:val="16"/>
        </w:rPr>
        <w:t>~</w:t>
      </w:r>
      <w:r>
        <w:rPr>
          <w:rFonts w:ascii="Times New Roman" w:hAnsi="Times New Roman" w:eastAsia="宋体" w:cs="Times New Roman"/>
          <w:sz w:val="16"/>
          <w:szCs w:val="16"/>
        </w:rPr>
        <w:t>100%LEL</w:t>
      </w:r>
      <w:r>
        <w:rPr>
          <w:rFonts w:hint="eastAsia" w:ascii="Times New Roman" w:hAnsi="Times New Roman" w:eastAsia="宋体" w:cs="Times New Roman"/>
          <w:sz w:val="16"/>
          <w:szCs w:val="16"/>
        </w:rPr>
        <w:t>的点型可燃气体探测器</w:t>
      </w:r>
    </w:p>
    <w:p>
      <w:pPr>
        <w:pStyle w:val="13"/>
        <w:numPr>
          <w:ilvl w:val="0"/>
          <w:numId w:val="2"/>
        </w:numPr>
        <w:spacing w:line="360" w:lineRule="exact"/>
        <w:ind w:firstLineChars="0"/>
        <w:rPr>
          <w:rFonts w:ascii="Times New Roman" w:hAnsi="Times New Roman" w:eastAsia="宋体" w:cs="Times New Roman"/>
          <w:sz w:val="16"/>
          <w:szCs w:val="16"/>
        </w:rPr>
      </w:pPr>
      <w:r>
        <w:rPr>
          <w:rFonts w:hint="eastAsia" w:ascii="Times New Roman" w:hAnsi="Times New Roman" w:eastAsia="宋体" w:cs="Times New Roman"/>
          <w:sz w:val="16"/>
          <w:szCs w:val="16"/>
          <w:lang w:val="en-US" w:eastAsia="zh-CN"/>
        </w:rPr>
        <w:t>DN-T4000A/XY</w:t>
      </w:r>
      <w:r>
        <w:rPr>
          <w:rFonts w:hint="eastAsia" w:ascii="Times New Roman" w:hAnsi="Times New Roman" w:eastAsia="宋体" w:cs="Times New Roman"/>
          <w:sz w:val="16"/>
          <w:szCs w:val="16"/>
        </w:rPr>
        <w:t>型 点型气体探测器</w:t>
      </w:r>
    </w:p>
    <w:p>
      <w:pPr>
        <w:pStyle w:val="13"/>
        <w:numPr>
          <w:ilvl w:val="0"/>
          <w:numId w:val="2"/>
        </w:numPr>
        <w:spacing w:line="360" w:lineRule="exact"/>
        <w:ind w:firstLineChars="0"/>
        <w:rPr>
          <w:rFonts w:ascii="Times New Roman" w:hAnsi="Times New Roman" w:eastAsia="宋体" w:cs="Times New Roman"/>
          <w:sz w:val="16"/>
          <w:szCs w:val="16"/>
        </w:rPr>
      </w:pPr>
      <w:r>
        <w:rPr>
          <w:rFonts w:hint="eastAsia" w:ascii="Times New Roman" w:hAnsi="Times New Roman" w:eastAsia="宋体" w:cs="Times New Roman"/>
          <w:sz w:val="16"/>
          <w:szCs w:val="16"/>
          <w:lang w:val="en-US" w:eastAsia="zh-CN"/>
        </w:rPr>
        <w:t>DN-T4000A/XY</w:t>
      </w:r>
      <w:r>
        <w:rPr>
          <w:rFonts w:hint="eastAsia" w:ascii="Times New Roman" w:hAnsi="Times New Roman" w:eastAsia="宋体" w:cs="Times New Roman"/>
          <w:sz w:val="16"/>
          <w:szCs w:val="16"/>
        </w:rPr>
        <w:t>型 点型气体探测器（或气体检测仪）</w:t>
      </w:r>
    </w:p>
    <w:p>
      <w:pPr>
        <w:pStyle w:val="13"/>
        <w:numPr>
          <w:ilvl w:val="0"/>
          <w:numId w:val="2"/>
        </w:numPr>
        <w:spacing w:line="360" w:lineRule="exact"/>
        <w:ind w:firstLineChars="0"/>
        <w:rPr>
          <w:rFonts w:ascii="Times New Roman" w:hAnsi="Times New Roman" w:eastAsia="宋体" w:cs="Times New Roman"/>
          <w:sz w:val="16"/>
          <w:szCs w:val="16"/>
        </w:rPr>
      </w:pPr>
      <w:r>
        <w:rPr>
          <w:rFonts w:hint="eastAsia" w:ascii="Times New Roman" w:hAnsi="Times New Roman" w:eastAsia="宋体" w:cs="Times New Roman"/>
          <w:sz w:val="16"/>
          <w:szCs w:val="16"/>
          <w:lang w:val="en-US" w:eastAsia="zh-CN"/>
        </w:rPr>
        <w:t>DN-T4000A/XY</w:t>
      </w:r>
      <w:r>
        <w:rPr>
          <w:rFonts w:hint="eastAsia" w:ascii="Times New Roman" w:hAnsi="Times New Roman" w:eastAsia="宋体" w:cs="Times New Roman"/>
          <w:sz w:val="16"/>
          <w:szCs w:val="16"/>
        </w:rPr>
        <w:t>型 点型气体探测器（或气体检测仪）</w:t>
      </w:r>
    </w:p>
    <w:p>
      <w:pPr>
        <w:spacing w:line="360" w:lineRule="exact"/>
        <w:ind w:firstLine="320" w:firstLineChars="200"/>
        <w:rPr>
          <w:rFonts w:ascii="Times New Roman" w:hAnsi="Times New Roman" w:eastAsia="宋体" w:cs="Times New Roman"/>
          <w:sz w:val="16"/>
          <w:szCs w:val="16"/>
        </w:rPr>
      </w:pPr>
      <w:r>
        <w:rPr>
          <w:rFonts w:hint="eastAsia" w:ascii="Times New Roman" w:hAnsi="Times New Roman" w:eastAsia="宋体" w:cs="Times New Roman"/>
          <w:sz w:val="16"/>
          <w:szCs w:val="16"/>
        </w:rPr>
        <w:t>该系列探测器能够对工业环境下可测量的气体进行连续监测，并将气体浓度转变为4-20mA信号，传输给气体报警控制器或DCS系统，进行显示和处理。</w:t>
      </w: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spacing w:line="360" w:lineRule="exact"/>
        <w:ind w:left="210" w:leftChars="100"/>
        <w:rPr>
          <w:rFonts w:ascii="Times New Roman" w:hAnsi="Times New Roman" w:eastAsia="宋体" w:cs="Times New Roman"/>
          <w:b/>
          <w:sz w:val="16"/>
          <w:szCs w:val="16"/>
        </w:rPr>
      </w:pPr>
      <w:r>
        <w:rPr>
          <w:rFonts w:hint="eastAsia" w:ascii="Times New Roman" w:hAnsi="Times New Roman" w:eastAsia="宋体" w:cs="Times New Roman"/>
          <w:b/>
          <w:sz w:val="16"/>
          <w:szCs w:val="16"/>
        </w:rPr>
        <w:t>本系列产品设计、制造、检定遵守以下国家标准、检定规程：</w:t>
      </w:r>
    </w:p>
    <w:p>
      <w:pPr>
        <w:spacing w:line="360" w:lineRule="exact"/>
        <w:ind w:left="420" w:leftChars="200"/>
        <w:rPr>
          <w:rFonts w:ascii="Times New Roman" w:hAnsi="Times New Roman" w:eastAsia="宋体" w:cs="Times New Roman"/>
          <w:sz w:val="16"/>
          <w:szCs w:val="16"/>
        </w:rPr>
      </w:pPr>
      <w:r>
        <w:rPr>
          <w:rFonts w:ascii="Times New Roman" w:hAnsi="Times New Roman" w:eastAsia="宋体" w:cs="Times New Roman"/>
          <w:sz w:val="16"/>
          <w:szCs w:val="16"/>
        </w:rPr>
        <w:t xml:space="preserve">GB12358-2006 </w:t>
      </w:r>
      <w:r>
        <w:rPr>
          <w:rFonts w:hint="eastAsia" w:ascii="Times New Roman" w:hAnsi="Times New Roman" w:eastAsia="宋体" w:cs="Times New Roman"/>
          <w:sz w:val="16"/>
          <w:szCs w:val="16"/>
        </w:rPr>
        <w:t>《作业场所环境气体检测报警仪通用技术要求》</w:t>
      </w:r>
    </w:p>
    <w:p>
      <w:pPr>
        <w:spacing w:line="360" w:lineRule="exact"/>
        <w:ind w:left="420" w:leftChars="200"/>
        <w:rPr>
          <w:rFonts w:ascii="Times New Roman" w:hAnsi="Times New Roman" w:eastAsia="宋体" w:cs="Times New Roman"/>
          <w:sz w:val="16"/>
          <w:szCs w:val="16"/>
        </w:rPr>
      </w:pPr>
      <w:r>
        <w:rPr>
          <w:rFonts w:ascii="Times New Roman" w:hAnsi="Times New Roman" w:eastAsia="宋体" w:cs="Times New Roman"/>
          <w:sz w:val="16"/>
          <w:szCs w:val="16"/>
        </w:rPr>
        <w:t xml:space="preserve">JJG 693-2011 </w:t>
      </w:r>
      <w:r>
        <w:rPr>
          <w:rFonts w:hint="eastAsia" w:ascii="Times New Roman" w:hAnsi="Times New Roman" w:eastAsia="宋体" w:cs="Times New Roman"/>
          <w:sz w:val="16"/>
          <w:szCs w:val="16"/>
        </w:rPr>
        <w:t>《可燃气体检测报警器</w:t>
      </w:r>
      <w:r>
        <w:rPr>
          <w:rFonts w:ascii="Times New Roman" w:hAnsi="Times New Roman" w:eastAsia="宋体" w:cs="Times New Roman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sz w:val="16"/>
          <w:szCs w:val="16"/>
        </w:rPr>
        <w:t>计量检定规程》</w:t>
      </w:r>
    </w:p>
    <w:p>
      <w:pPr>
        <w:spacing w:line="360" w:lineRule="exact"/>
        <w:ind w:left="420" w:leftChars="200"/>
        <w:rPr>
          <w:rFonts w:ascii="Times New Roman" w:hAnsi="Times New Roman" w:eastAsia="宋体" w:cs="Times New Roman"/>
          <w:sz w:val="16"/>
          <w:szCs w:val="16"/>
        </w:rPr>
      </w:pPr>
      <w:r>
        <w:rPr>
          <w:rFonts w:ascii="Times New Roman" w:hAnsi="Times New Roman" w:eastAsia="宋体" w:cs="Times New Roman"/>
          <w:sz w:val="16"/>
          <w:szCs w:val="16"/>
        </w:rPr>
        <w:t>JJG 551-2003</w:t>
      </w:r>
      <w:r>
        <w:rPr>
          <w:rFonts w:hint="eastAsia" w:ascii="Times New Roman" w:hAnsi="Times New Roman" w:eastAsia="宋体" w:cs="Times New Roman"/>
          <w:sz w:val="16"/>
          <w:szCs w:val="16"/>
        </w:rPr>
        <w:t xml:space="preserve"> 《二氧化硫气体检测仪 检定规程》</w:t>
      </w:r>
    </w:p>
    <w:p>
      <w:pPr>
        <w:spacing w:line="360" w:lineRule="exact"/>
        <w:ind w:left="420" w:leftChars="200"/>
        <w:rPr>
          <w:rFonts w:ascii="Times New Roman" w:hAnsi="Times New Roman" w:eastAsia="宋体" w:cs="Times New Roman"/>
          <w:sz w:val="16"/>
          <w:szCs w:val="16"/>
        </w:rPr>
      </w:pPr>
      <w:r>
        <w:rPr>
          <w:rFonts w:ascii="Times New Roman" w:hAnsi="Times New Roman" w:eastAsia="宋体" w:cs="Times New Roman"/>
          <w:sz w:val="16"/>
          <w:szCs w:val="16"/>
        </w:rPr>
        <w:t>JJG 915-2008</w:t>
      </w:r>
      <w:r>
        <w:rPr>
          <w:rFonts w:hint="eastAsia" w:ascii="Times New Roman" w:hAnsi="Times New Roman" w:eastAsia="宋体" w:cs="Times New Roman"/>
          <w:sz w:val="16"/>
          <w:szCs w:val="16"/>
        </w:rPr>
        <w:t xml:space="preserve"> 《一氧化碳检测报警器 检定规程》</w:t>
      </w:r>
    </w:p>
    <w:p>
      <w:pPr>
        <w:spacing w:line="360" w:lineRule="exact"/>
        <w:ind w:left="420" w:leftChars="200"/>
        <w:rPr>
          <w:rFonts w:ascii="Times New Roman" w:hAnsi="Times New Roman" w:eastAsia="宋体" w:cs="Times New Roman"/>
          <w:sz w:val="16"/>
          <w:szCs w:val="16"/>
        </w:rPr>
      </w:pPr>
      <w:r>
        <w:rPr>
          <w:rFonts w:ascii="Times New Roman" w:hAnsi="Times New Roman" w:eastAsia="宋体" w:cs="Times New Roman"/>
          <w:sz w:val="16"/>
          <w:szCs w:val="16"/>
        </w:rPr>
        <w:t>JJG 6</w:t>
      </w:r>
      <w:r>
        <w:rPr>
          <w:rFonts w:hint="eastAsia" w:ascii="Times New Roman" w:hAnsi="Times New Roman" w:eastAsia="宋体" w:cs="Times New Roman"/>
          <w:sz w:val="16"/>
          <w:szCs w:val="16"/>
        </w:rPr>
        <w:t>95</w:t>
      </w:r>
      <w:r>
        <w:rPr>
          <w:rFonts w:ascii="Times New Roman" w:hAnsi="Times New Roman" w:eastAsia="宋体" w:cs="Times New Roman"/>
          <w:sz w:val="16"/>
          <w:szCs w:val="16"/>
        </w:rPr>
        <w:t xml:space="preserve"> -2003</w:t>
      </w:r>
      <w:r>
        <w:rPr>
          <w:rFonts w:hint="eastAsia" w:ascii="Times New Roman" w:hAnsi="Times New Roman" w:eastAsia="宋体" w:cs="Times New Roman"/>
          <w:sz w:val="16"/>
          <w:szCs w:val="16"/>
        </w:rPr>
        <w:t>《硫化氢气体检测仪 检定规程》</w:t>
      </w:r>
    </w:p>
    <w:p>
      <w:pPr>
        <w:spacing w:line="360" w:lineRule="exact"/>
        <w:ind w:left="420" w:leftChars="200"/>
        <w:rPr>
          <w:rFonts w:ascii="Times New Roman" w:hAnsi="Times New Roman" w:eastAsia="宋体" w:cs="Times New Roman"/>
          <w:sz w:val="16"/>
          <w:szCs w:val="16"/>
        </w:rPr>
      </w:pPr>
      <w:r>
        <w:rPr>
          <w:rFonts w:ascii="Times New Roman" w:hAnsi="Times New Roman" w:eastAsia="宋体" w:cs="Times New Roman"/>
          <w:sz w:val="16"/>
          <w:szCs w:val="16"/>
        </w:rPr>
        <w:t xml:space="preserve">JJG </w:t>
      </w:r>
      <w:r>
        <w:rPr>
          <w:rFonts w:hint="eastAsia" w:ascii="Times New Roman" w:hAnsi="Times New Roman" w:eastAsia="宋体" w:cs="Times New Roman"/>
          <w:sz w:val="16"/>
          <w:szCs w:val="16"/>
        </w:rPr>
        <w:t>365</w:t>
      </w:r>
      <w:r>
        <w:rPr>
          <w:rFonts w:ascii="Times New Roman" w:hAnsi="Times New Roman" w:eastAsia="宋体" w:cs="Times New Roman"/>
          <w:sz w:val="16"/>
          <w:szCs w:val="16"/>
        </w:rPr>
        <w:t xml:space="preserve"> -200</w:t>
      </w:r>
      <w:r>
        <w:rPr>
          <w:rFonts w:hint="eastAsia" w:ascii="Times New Roman" w:hAnsi="Times New Roman" w:eastAsia="宋体" w:cs="Times New Roman"/>
          <w:sz w:val="16"/>
          <w:szCs w:val="16"/>
        </w:rPr>
        <w:t>8《电化学氧测定仪 检定规程》</w:t>
      </w:r>
    </w:p>
    <w:p>
      <w:pPr>
        <w:spacing w:line="360" w:lineRule="exact"/>
        <w:ind w:left="420" w:leftChars="200"/>
        <w:rPr>
          <w:rFonts w:ascii="Times New Roman" w:hAnsi="Times New Roman" w:eastAsia="宋体" w:cs="Times New Roman"/>
          <w:sz w:val="16"/>
          <w:szCs w:val="16"/>
        </w:rPr>
      </w:pPr>
    </w:p>
    <w:p>
      <w:pPr>
        <w:spacing w:line="360" w:lineRule="exact"/>
        <w:ind w:left="420" w:leftChars="200"/>
        <w:rPr>
          <w:rFonts w:ascii="Times New Roman" w:hAnsi="Times New Roman" w:eastAsia="宋体" w:cs="Times New Roman"/>
          <w:sz w:val="16"/>
          <w:szCs w:val="16"/>
        </w:rPr>
      </w:pPr>
    </w:p>
    <w:p>
      <w:pPr>
        <w:spacing w:line="360" w:lineRule="exact"/>
        <w:ind w:left="420" w:leftChars="200"/>
        <w:rPr>
          <w:rFonts w:ascii="Times New Roman" w:hAnsi="Times New Roman" w:eastAsia="宋体" w:cs="Times New Roman"/>
          <w:sz w:val="16"/>
          <w:szCs w:val="16"/>
        </w:rPr>
      </w:pPr>
    </w:p>
    <w:p>
      <w:pPr>
        <w:spacing w:line="360" w:lineRule="exact"/>
        <w:ind w:left="420" w:leftChars="200"/>
        <w:rPr>
          <w:rFonts w:ascii="Times New Roman" w:hAnsi="Times New Roman" w:eastAsia="宋体" w:cs="Times New Roman"/>
          <w:sz w:val="16"/>
          <w:szCs w:val="16"/>
        </w:rPr>
      </w:pPr>
    </w:p>
    <w:p>
      <w:pPr>
        <w:pStyle w:val="2"/>
      </w:pPr>
      <w:bookmarkStart w:id="1" w:name="_Toc426986411"/>
      <w:r>
        <w:rPr>
          <w:rFonts w:hint="eastAsia"/>
        </w:rPr>
        <w:t>部件说明：</w:t>
      </w:r>
      <w:bookmarkEnd w:id="1"/>
      <w:r>
        <w:t xml:space="preserve"> </w:t>
      </w:r>
    </w:p>
    <w:tbl>
      <w:tblPr>
        <w:tblStyle w:val="9"/>
        <w:tblW w:w="7408" w:type="dxa"/>
        <w:tblInd w:w="178" w:type="dxa"/>
        <w:tblBorders>
          <w:top w:val="single" w:color="948A54" w:themeColor="background2" w:themeShade="80" w:sz="4" w:space="0"/>
          <w:left w:val="single" w:color="948A54" w:themeColor="background2" w:themeShade="80" w:sz="4" w:space="0"/>
          <w:bottom w:val="single" w:color="948A54" w:themeColor="background2" w:themeShade="80" w:sz="4" w:space="0"/>
          <w:right w:val="single" w:color="948A54" w:themeColor="background2" w:themeShade="80" w:sz="4" w:space="0"/>
          <w:insideH w:val="single" w:color="948A54" w:themeColor="background2" w:themeShade="80" w:sz="4" w:space="0"/>
          <w:insideV w:val="single" w:color="948A54" w:themeColor="background2" w:themeShade="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6"/>
        <w:gridCol w:w="629"/>
        <w:gridCol w:w="1193"/>
      </w:tblGrid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586" w:type="dxa"/>
            <w:tcBorders>
              <w:bottom w:val="single" w:color="948A54" w:themeColor="background2" w:themeShade="80" w:sz="4" w:space="0"/>
              <w:right w:val="single" w:color="948A54" w:themeColor="background2" w:themeShade="80" w:sz="4" w:spac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rFonts w:hint="eastAsia"/>
                <w:b/>
                <w:sz w:val="15"/>
              </w:rPr>
              <w:t>图  片</w:t>
            </w:r>
          </w:p>
        </w:tc>
        <w:tc>
          <w:tcPr>
            <w:tcW w:w="629" w:type="dxa"/>
            <w:tcBorders>
              <w:left w:val="single" w:color="948A54" w:themeColor="background2" w:themeShade="80" w:sz="4" w:space="0"/>
              <w:bottom w:val="single" w:color="948A54" w:themeColor="background2" w:themeShade="80" w:sz="4" w:space="0"/>
              <w:right w:val="single" w:color="948A54" w:themeColor="background2" w:themeShade="80" w:sz="4" w:space="0"/>
            </w:tcBorders>
            <w:vAlign w:val="center"/>
          </w:tcPr>
          <w:p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项目</w:t>
            </w:r>
          </w:p>
        </w:tc>
        <w:tc>
          <w:tcPr>
            <w:tcW w:w="1193" w:type="dxa"/>
            <w:tcBorders>
              <w:left w:val="single" w:color="948A54" w:themeColor="background2" w:themeShade="80" w:sz="4" w:space="0"/>
              <w:bottom w:val="single" w:color="948A54" w:themeColor="background2" w:themeShade="80" w:sz="4" w:space="0"/>
            </w:tcBorders>
            <w:vAlign w:val="center"/>
          </w:tcPr>
          <w:p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描述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86" w:type="dxa"/>
            <w:vMerge w:val="restart"/>
            <w:tcBorders>
              <w:top w:val="single" w:color="948A54" w:themeColor="background2" w:themeShade="80" w:sz="4" w:space="0"/>
              <w:right w:val="single" w:color="948A54" w:themeColor="background2" w:themeShade="80" w:sz="4" w:space="0"/>
            </w:tcBorders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eastAsiaTheme="minorEastAsia"/>
                <w:sz w:val="24"/>
                <w:lang w:eastAsia="zh-CN"/>
              </w:rPr>
              <w:drawing>
                <wp:inline distT="0" distB="0" distL="114300" distR="114300">
                  <wp:extent cx="3409315" cy="2352675"/>
                  <wp:effectExtent l="0" t="0" r="635" b="9525"/>
                  <wp:docPr id="7" name="图片 7" descr="QQ图片20171030144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QQ图片2017103014472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315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single" w:color="948A54" w:themeColor="background2" w:themeShade="80" w:sz="4" w:space="0"/>
              <w:left w:val="single" w:color="948A54" w:themeColor="background2" w:themeShade="80" w:sz="4" w:space="0"/>
              <w:bottom w:val="single" w:color="948A54" w:themeColor="background2" w:themeShade="80" w:sz="4" w:space="0"/>
              <w:right w:val="single" w:color="948A54" w:themeColor="background2" w:themeShade="80" w:sz="4" w:space="0"/>
            </w:tcBorders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1193" w:type="dxa"/>
            <w:tcBorders>
              <w:top w:val="single" w:color="948A54" w:themeColor="background2" w:themeShade="80" w:sz="4" w:space="0"/>
              <w:left w:val="single" w:color="948A54" w:themeColor="background2" w:themeShade="80" w:sz="4" w:space="0"/>
              <w:bottom w:val="single" w:color="948A54" w:themeColor="background2" w:themeShade="80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底壳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586" w:type="dxa"/>
            <w:vMerge w:val="continue"/>
            <w:tcBorders>
              <w:right w:val="single" w:color="948A54" w:themeColor="background2" w:themeShade="8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29" w:type="dxa"/>
            <w:tcBorders>
              <w:top w:val="single" w:color="948A54" w:themeColor="background2" w:themeShade="80" w:sz="4" w:space="0"/>
              <w:left w:val="single" w:color="948A54" w:themeColor="background2" w:themeShade="80" w:sz="4" w:space="0"/>
              <w:bottom w:val="single" w:color="948A54" w:themeColor="background2" w:themeShade="80" w:sz="4" w:space="0"/>
              <w:right w:val="single" w:color="948A54" w:themeColor="background2" w:themeShade="80" w:sz="4" w:space="0"/>
            </w:tcBorders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193" w:type="dxa"/>
            <w:tcBorders>
              <w:top w:val="single" w:color="948A54" w:themeColor="background2" w:themeShade="80" w:sz="4" w:space="0"/>
              <w:left w:val="single" w:color="948A54" w:themeColor="background2" w:themeShade="80" w:sz="4" w:space="0"/>
              <w:bottom w:val="single" w:color="948A54" w:themeColor="background2" w:themeShade="80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主板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86" w:type="dxa"/>
            <w:vMerge w:val="continue"/>
            <w:tcBorders>
              <w:right w:val="single" w:color="948A54" w:themeColor="background2" w:themeShade="8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29" w:type="dxa"/>
            <w:tcBorders>
              <w:top w:val="single" w:color="948A54" w:themeColor="background2" w:themeShade="80" w:sz="4" w:space="0"/>
              <w:left w:val="single" w:color="948A54" w:themeColor="background2" w:themeShade="80" w:sz="4" w:space="0"/>
              <w:bottom w:val="single" w:color="948A54" w:themeColor="background2" w:themeShade="80" w:sz="4" w:space="0"/>
              <w:right w:val="single" w:color="948A54" w:themeColor="background2" w:themeShade="80" w:sz="4" w:space="0"/>
            </w:tcBorders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1193" w:type="dxa"/>
            <w:tcBorders>
              <w:top w:val="single" w:color="948A54" w:themeColor="background2" w:themeShade="80" w:sz="4" w:space="0"/>
              <w:left w:val="single" w:color="948A54" w:themeColor="background2" w:themeShade="80" w:sz="4" w:space="0"/>
              <w:bottom w:val="single" w:color="948A54" w:themeColor="background2" w:themeShade="80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显示模块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586" w:type="dxa"/>
            <w:vMerge w:val="continue"/>
            <w:tcBorders>
              <w:right w:val="single" w:color="948A54" w:themeColor="background2" w:themeShade="8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29" w:type="dxa"/>
            <w:tcBorders>
              <w:top w:val="single" w:color="948A54" w:themeColor="background2" w:themeShade="80" w:sz="4" w:space="0"/>
              <w:left w:val="single" w:color="948A54" w:themeColor="background2" w:themeShade="80" w:sz="4" w:space="0"/>
              <w:bottom w:val="single" w:color="948A54" w:themeColor="background2" w:themeShade="80" w:sz="4" w:space="0"/>
              <w:right w:val="single" w:color="948A54" w:themeColor="background2" w:themeShade="80" w:sz="4" w:space="0"/>
            </w:tcBorders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1193" w:type="dxa"/>
            <w:tcBorders>
              <w:top w:val="single" w:color="948A54" w:themeColor="background2" w:themeShade="80" w:sz="4" w:space="0"/>
              <w:left w:val="single" w:color="948A54" w:themeColor="background2" w:themeShade="80" w:sz="4" w:space="0"/>
              <w:bottom w:val="single" w:color="948A54" w:themeColor="background2" w:themeShade="80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上盖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5586" w:type="dxa"/>
            <w:vMerge w:val="continue"/>
            <w:tcBorders>
              <w:right w:val="single" w:color="948A54" w:themeColor="background2" w:themeShade="8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29" w:type="dxa"/>
            <w:tcBorders>
              <w:top w:val="single" w:color="948A54" w:themeColor="background2" w:themeShade="80" w:sz="4" w:space="0"/>
              <w:left w:val="single" w:color="948A54" w:themeColor="background2" w:themeShade="80" w:sz="4" w:space="0"/>
              <w:bottom w:val="single" w:color="948A54" w:themeColor="background2" w:themeShade="80" w:sz="4" w:space="0"/>
              <w:right w:val="single" w:color="948A54" w:themeColor="background2" w:themeShade="80" w:sz="4" w:space="0"/>
            </w:tcBorders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193" w:type="dxa"/>
            <w:tcBorders>
              <w:top w:val="single" w:color="948A54" w:themeColor="background2" w:themeShade="80" w:sz="4" w:space="0"/>
              <w:left w:val="single" w:color="948A54" w:themeColor="background2" w:themeShade="80" w:sz="4" w:space="0"/>
              <w:bottom w:val="single" w:color="948A54" w:themeColor="background2" w:themeShade="80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接线盒盖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5586" w:type="dxa"/>
            <w:vMerge w:val="continue"/>
            <w:tcBorders>
              <w:right w:val="single" w:color="948A54" w:themeColor="background2" w:themeShade="8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29" w:type="dxa"/>
            <w:tcBorders>
              <w:top w:val="single" w:color="948A54" w:themeColor="background2" w:themeShade="80" w:sz="4" w:space="0"/>
              <w:left w:val="single" w:color="948A54" w:themeColor="background2" w:themeShade="80" w:sz="4" w:space="0"/>
              <w:bottom w:val="single" w:color="948A54" w:themeColor="background2" w:themeShade="80" w:sz="4" w:space="0"/>
              <w:right w:val="single" w:color="948A54" w:themeColor="background2" w:themeShade="80" w:sz="4" w:space="0"/>
            </w:tcBorders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193" w:type="dxa"/>
            <w:tcBorders>
              <w:top w:val="single" w:color="948A54" w:themeColor="background2" w:themeShade="80" w:sz="4" w:space="0"/>
              <w:left w:val="single" w:color="948A54" w:themeColor="background2" w:themeShade="80" w:sz="4" w:space="0"/>
              <w:bottom w:val="single" w:color="948A54" w:themeColor="background2" w:themeShade="80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接线盒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86" w:type="dxa"/>
            <w:vMerge w:val="continue"/>
            <w:tcBorders>
              <w:right w:val="single" w:color="948A54" w:themeColor="background2" w:themeShade="8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29" w:type="dxa"/>
            <w:tcBorders>
              <w:top w:val="single" w:color="948A54" w:themeColor="background2" w:themeShade="80" w:sz="4" w:space="0"/>
              <w:left w:val="single" w:color="948A54" w:themeColor="background2" w:themeShade="80" w:sz="4" w:space="0"/>
              <w:bottom w:val="single" w:color="948A54" w:themeColor="background2" w:themeShade="80" w:sz="4" w:space="0"/>
              <w:right w:val="single" w:color="948A54" w:themeColor="background2" w:themeShade="80" w:sz="4" w:space="0"/>
            </w:tcBorders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1193" w:type="dxa"/>
            <w:tcBorders>
              <w:top w:val="single" w:color="948A54" w:themeColor="background2" w:themeShade="80" w:sz="4" w:space="0"/>
              <w:left w:val="single" w:color="948A54" w:themeColor="background2" w:themeShade="80" w:sz="4" w:space="0"/>
              <w:bottom w:val="single" w:color="948A54" w:themeColor="background2" w:themeShade="80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传感器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5586" w:type="dxa"/>
            <w:vMerge w:val="continue"/>
            <w:tcBorders>
              <w:right w:val="single" w:color="948A54" w:themeColor="background2" w:themeShade="8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29" w:type="dxa"/>
            <w:tcBorders>
              <w:top w:val="single" w:color="948A54" w:themeColor="background2" w:themeShade="80" w:sz="4" w:space="0"/>
              <w:left w:val="single" w:color="948A54" w:themeColor="background2" w:themeShade="80" w:sz="4" w:space="0"/>
              <w:right w:val="single" w:color="948A54" w:themeColor="background2" w:themeShade="80" w:sz="4" w:space="0"/>
            </w:tcBorders>
          </w:tcPr>
          <w:p>
            <w:pPr>
              <w:jc w:val="center"/>
              <w:rPr>
                <w:strike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single" w:color="948A54" w:themeColor="background2" w:themeShade="80" w:sz="4" w:space="0"/>
              <w:left w:val="single" w:color="948A54" w:themeColor="background2" w:themeShade="80" w:sz="4" w:space="0"/>
            </w:tcBorders>
          </w:tcPr>
          <w:p>
            <w:pPr>
              <w:jc w:val="left"/>
              <w:rPr>
                <w:rFonts w:asciiTheme="minorEastAsia" w:hAnsiTheme="minorEastAsia"/>
                <w:strike/>
                <w:sz w:val="15"/>
                <w:szCs w:val="15"/>
              </w:rPr>
            </w:pPr>
          </w:p>
        </w:tc>
      </w:tr>
    </w:tbl>
    <w:p>
      <w:pPr>
        <w:pStyle w:val="2"/>
      </w:pPr>
      <w:bookmarkStart w:id="2" w:name="_Toc426986412"/>
      <w:r>
        <w:rPr>
          <w:rFonts w:hint="eastAsia"/>
        </w:rPr>
        <w:t>遥控器说明：</w:t>
      </w:r>
      <w:bookmarkEnd w:id="2"/>
    </w:p>
    <w:tbl>
      <w:tblPr>
        <w:tblStyle w:val="9"/>
        <w:tblW w:w="7419" w:type="dxa"/>
        <w:tblInd w:w="52" w:type="dxa"/>
        <w:tblBorders>
          <w:top w:val="single" w:color="948A54" w:themeColor="background2" w:themeShade="80" w:sz="4" w:space="0"/>
          <w:left w:val="single" w:color="948A54" w:themeColor="background2" w:themeShade="80" w:sz="4" w:space="0"/>
          <w:bottom w:val="single" w:color="948A54" w:themeColor="background2" w:themeShade="80" w:sz="4" w:space="0"/>
          <w:right w:val="single" w:color="948A54" w:themeColor="background2" w:themeShade="80" w:sz="4" w:space="0"/>
          <w:insideH w:val="single" w:color="948A54" w:themeColor="background2" w:themeShade="80" w:sz="4" w:space="0"/>
          <w:insideV w:val="single" w:color="948A54" w:themeColor="background2" w:themeShade="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587"/>
        <w:gridCol w:w="1162"/>
      </w:tblGrid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670" w:type="dxa"/>
          </w:tcPr>
          <w:p>
            <w:pPr>
              <w:jc w:val="center"/>
              <w:rPr>
                <w:rFonts w:asciiTheme="minorEastAsia" w:hAnsiTheme="minorEastAsia"/>
                <w:b/>
                <w:sz w:val="15"/>
              </w:rPr>
            </w:pPr>
            <w:r>
              <w:rPr>
                <w:rFonts w:hint="eastAsia" w:asciiTheme="minorEastAsia" w:hAnsiTheme="minorEastAsia"/>
                <w:b/>
                <w:sz w:val="15"/>
              </w:rPr>
              <w:t>图  片</w:t>
            </w:r>
          </w:p>
        </w:tc>
        <w:tc>
          <w:tcPr>
            <w:tcW w:w="587" w:type="dxa"/>
          </w:tcPr>
          <w:p>
            <w:pPr>
              <w:jc w:val="center"/>
              <w:rPr>
                <w:b/>
                <w:sz w:val="15"/>
                <w:szCs w:val="18"/>
              </w:rPr>
            </w:pPr>
            <w:r>
              <w:rPr>
                <w:rFonts w:hint="eastAsia"/>
                <w:b/>
                <w:sz w:val="15"/>
                <w:szCs w:val="18"/>
              </w:rPr>
              <w:t>项目</w:t>
            </w:r>
          </w:p>
        </w:tc>
        <w:tc>
          <w:tcPr>
            <w:tcW w:w="1162" w:type="dxa"/>
          </w:tcPr>
          <w:p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描述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670" w:type="dxa"/>
            <w:vMerge w:val="restart"/>
          </w:tcPr>
          <w:p>
            <w:pPr>
              <w:jc w:val="center"/>
            </w:pPr>
            <w:r>
              <w:drawing>
                <wp:inline distT="0" distB="0" distL="0" distR="0">
                  <wp:extent cx="1245235" cy="2296160"/>
                  <wp:effectExtent l="0" t="0" r="0" b="889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416" cy="2305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asciiTheme="minorEastAsia" w:hAnsiTheme="minorEastAsia"/>
                <w:sz w:val="15"/>
              </w:rPr>
              <w:pict>
                <v:shape id="_x0000_i1025" o:spt="75" type="#_x0000_t75" style="height:14.6pt;width:11.5pt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162" w:type="dxa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asciiTheme="minorEastAsia" w:hAnsiTheme="minorEastAsia"/>
                <w:sz w:val="15"/>
              </w:rPr>
              <w:t>消音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670" w:type="dxa"/>
            <w:vMerge w:val="continue"/>
          </w:tcPr>
          <w:p>
            <w:pPr>
              <w:jc w:val="center"/>
            </w:pPr>
          </w:p>
        </w:tc>
        <w:tc>
          <w:tcPr>
            <w:tcW w:w="587" w:type="dxa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asciiTheme="minorEastAsia" w:hAnsiTheme="minorEastAsia"/>
                <w:sz w:val="15"/>
              </w:rPr>
              <w:pict>
                <v:shape id="_x0000_i1026" o:spt="75" type="#_x0000_t75" style="height:12.35pt;width:14.6pt;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162" w:type="dxa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asciiTheme="minorEastAsia" w:hAnsiTheme="minorEastAsia"/>
                <w:sz w:val="15"/>
              </w:rPr>
              <w:t>撤销、返回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670" w:type="dxa"/>
            <w:vMerge w:val="continue"/>
          </w:tcPr>
          <w:p>
            <w:pPr>
              <w:jc w:val="center"/>
            </w:pPr>
          </w:p>
        </w:tc>
        <w:tc>
          <w:tcPr>
            <w:tcW w:w="587" w:type="dxa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asciiTheme="minorEastAsia" w:hAnsiTheme="minorEastAsia"/>
                <w:sz w:val="15"/>
              </w:rPr>
              <w:t>Ok</w:t>
            </w:r>
          </w:p>
        </w:tc>
        <w:tc>
          <w:tcPr>
            <w:tcW w:w="1162" w:type="dxa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asciiTheme="minorEastAsia" w:hAnsiTheme="minorEastAsia"/>
                <w:sz w:val="15"/>
              </w:rPr>
              <w:t>确认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670" w:type="dxa"/>
            <w:vMerge w:val="continue"/>
          </w:tcPr>
          <w:p>
            <w:pPr>
              <w:jc w:val="center"/>
            </w:pPr>
          </w:p>
        </w:tc>
        <w:tc>
          <w:tcPr>
            <w:tcW w:w="587" w:type="dxa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asciiTheme="minorEastAsia" w:hAnsiTheme="minorEastAsia"/>
                <w:sz w:val="15"/>
              </w:rPr>
              <w:pict>
                <v:shape id="_x0000_i1027" o:spt="75" type="#_x0000_t75" style="height:8.85pt;width:8.85pt;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162" w:type="dxa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asciiTheme="minorEastAsia" w:hAnsiTheme="minorEastAsia"/>
                <w:sz w:val="15"/>
              </w:rPr>
              <w:t>位选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670" w:type="dxa"/>
            <w:vMerge w:val="continue"/>
          </w:tcPr>
          <w:p>
            <w:pPr>
              <w:jc w:val="center"/>
            </w:pPr>
          </w:p>
        </w:tc>
        <w:tc>
          <w:tcPr>
            <w:tcW w:w="587" w:type="dxa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asciiTheme="minorEastAsia" w:hAnsiTheme="minorEastAsia"/>
                <w:sz w:val="15"/>
              </w:rPr>
              <w:pict>
                <v:shape id="_x0000_i1028" o:spt="75" type="#_x0000_t75" style="height:8.85pt;width:8.85pt;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162" w:type="dxa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asciiTheme="minorEastAsia" w:hAnsiTheme="minorEastAsia"/>
                <w:sz w:val="15"/>
              </w:rPr>
              <w:t>位选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670" w:type="dxa"/>
            <w:vMerge w:val="continue"/>
          </w:tcPr>
          <w:p>
            <w:pPr>
              <w:jc w:val="center"/>
            </w:pPr>
          </w:p>
        </w:tc>
        <w:tc>
          <w:tcPr>
            <w:tcW w:w="587" w:type="dxa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asciiTheme="minorEastAsia" w:hAnsiTheme="minorEastAsia"/>
                <w:sz w:val="15"/>
              </w:rPr>
              <w:t>▲</w:t>
            </w:r>
          </w:p>
        </w:tc>
        <w:tc>
          <w:tcPr>
            <w:tcW w:w="1162" w:type="dxa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asciiTheme="minorEastAsia" w:hAnsiTheme="minorEastAsia"/>
                <w:sz w:val="15"/>
              </w:rPr>
              <w:t>位值增加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670" w:type="dxa"/>
            <w:vMerge w:val="continue"/>
          </w:tcPr>
          <w:p>
            <w:pPr>
              <w:jc w:val="center"/>
            </w:pPr>
          </w:p>
        </w:tc>
        <w:tc>
          <w:tcPr>
            <w:tcW w:w="587" w:type="dxa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asciiTheme="minorEastAsia" w:hAnsiTheme="minorEastAsia"/>
                <w:sz w:val="15"/>
              </w:rPr>
              <w:t>▼</w:t>
            </w:r>
          </w:p>
        </w:tc>
        <w:tc>
          <w:tcPr>
            <w:tcW w:w="1162" w:type="dxa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asciiTheme="minorEastAsia" w:hAnsiTheme="minorEastAsia"/>
                <w:sz w:val="15"/>
              </w:rPr>
              <w:t>位值减小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670" w:type="dxa"/>
            <w:vMerge w:val="continue"/>
          </w:tcPr>
          <w:p>
            <w:pPr>
              <w:jc w:val="center"/>
            </w:pPr>
          </w:p>
        </w:tc>
        <w:tc>
          <w:tcPr>
            <w:tcW w:w="587" w:type="dxa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asciiTheme="minorEastAsia" w:hAnsiTheme="minorEastAsia"/>
                <w:sz w:val="15"/>
              </w:rPr>
              <w:t>1</w:t>
            </w:r>
          </w:p>
        </w:tc>
        <w:tc>
          <w:tcPr>
            <w:tcW w:w="1162" w:type="dxa"/>
          </w:tcPr>
          <w:p>
            <w:pPr>
              <w:jc w:val="left"/>
              <w:rPr>
                <w:rFonts w:asciiTheme="minorEastAsia" w:hAnsiTheme="minorEastAsia"/>
                <w:sz w:val="15"/>
              </w:rPr>
            </w:pPr>
            <w:r>
              <w:rPr>
                <w:rFonts w:hint="eastAsia" w:asciiTheme="minorEastAsia" w:hAnsiTheme="minorEastAsia"/>
                <w:sz w:val="15"/>
              </w:rPr>
              <w:t>红外发射管</w:t>
            </w:r>
          </w:p>
        </w:tc>
      </w:tr>
    </w:tbl>
    <w:p>
      <w:pPr>
        <w:spacing w:line="276" w:lineRule="auto"/>
        <w:jc w:val="left"/>
      </w:pPr>
    </w:p>
    <w:p>
      <w:pPr>
        <w:pStyle w:val="2"/>
      </w:pPr>
      <w:bookmarkStart w:id="3" w:name="_Toc426986413"/>
      <w:bookmarkStart w:id="4" w:name="_Toc408651762"/>
      <w:r>
        <w:rPr>
          <w:rFonts w:hint="eastAsia"/>
        </w:rPr>
        <w:t>操作说明：</w:t>
      </w:r>
      <w:bookmarkEnd w:id="3"/>
      <w:bookmarkEnd w:id="4"/>
    </w:p>
    <w:tbl>
      <w:tblPr>
        <w:tblStyle w:val="9"/>
        <w:tblW w:w="7543" w:type="dxa"/>
        <w:jc w:val="center"/>
        <w:tblInd w:w="0" w:type="dxa"/>
        <w:tblBorders>
          <w:top w:val="single" w:color="948A54" w:themeColor="background2" w:themeShade="80" w:sz="4" w:space="0"/>
          <w:left w:val="single" w:color="948A54" w:themeColor="background2" w:themeShade="80" w:sz="4" w:space="0"/>
          <w:bottom w:val="single" w:color="948A54" w:themeColor="background2" w:themeShade="80" w:sz="4" w:space="0"/>
          <w:right w:val="single" w:color="948A54" w:themeColor="background2" w:themeShade="80" w:sz="4" w:space="0"/>
          <w:insideH w:val="single" w:color="948A54" w:themeColor="background2" w:themeShade="80" w:sz="4" w:space="0"/>
          <w:insideV w:val="single" w:color="948A54" w:themeColor="background2" w:themeShade="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909"/>
        <w:gridCol w:w="5770"/>
      </w:tblGrid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b/>
                <w:sz w:val="15"/>
                <w:szCs w:val="15"/>
              </w:rPr>
              <w:t>参数设置</w:t>
            </w:r>
          </w:p>
        </w:tc>
        <w:tc>
          <w:tcPr>
            <w:tcW w:w="909" w:type="dxa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b/>
                <w:sz w:val="15"/>
                <w:szCs w:val="15"/>
              </w:rPr>
              <w:t>密码</w:t>
            </w:r>
          </w:p>
        </w:tc>
        <w:tc>
          <w:tcPr>
            <w:tcW w:w="5770" w:type="dxa"/>
          </w:tcPr>
          <w:p>
            <w:pPr>
              <w:jc w:val="center"/>
              <w:rPr>
                <w:rFonts w:ascii="宋体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b/>
                <w:sz w:val="15"/>
                <w:szCs w:val="15"/>
              </w:rPr>
              <w:t>操作步骤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</w:tcPr>
          <w:p>
            <w:pPr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宋体" w:hAnsi="Times New Roman" w:eastAsia="宋体" w:cs="Times New Roman"/>
                <w:sz w:val="15"/>
                <w:szCs w:val="15"/>
              </w:rPr>
              <w:t>“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低报</w:t>
            </w:r>
            <w:r>
              <w:rPr>
                <w:rFonts w:hint="eastAsia" w:ascii="宋体" w:hAnsi="Times New Roman" w:eastAsia="宋体" w:cs="Times New Roman"/>
                <w:sz w:val="15"/>
                <w:szCs w:val="15"/>
              </w:rPr>
              <w:t>”</w:t>
            </w:r>
          </w:p>
          <w:p>
            <w:pPr>
              <w:rPr>
                <w:rFonts w:ascii="宋体" w:hAnsi="Times New Roman" w:eastAsia="宋体" w:cs="Times New Roman"/>
                <w:sz w:val="15"/>
                <w:szCs w:val="15"/>
              </w:rPr>
            </w:pPr>
          </w:p>
          <w:p>
            <w:pPr>
              <w:rPr>
                <w:rFonts w:ascii="宋体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“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>1111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</w:t>
            </w:r>
          </w:p>
        </w:tc>
        <w:tc>
          <w:tcPr>
            <w:tcW w:w="5770" w:type="dxa"/>
          </w:tcPr>
          <w:p>
            <w:pPr>
              <w:spacing w:line="280" w:lineRule="exact"/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按“功能”键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》》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输入密码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- - - -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》》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按“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>ok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”键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sz w:val="15"/>
                <w:szCs w:val="15"/>
              </w:rPr>
              <w:t>…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sz w:val="15"/>
                <w:szCs w:val="15"/>
              </w:rPr>
              <w:t>…</w:t>
            </w:r>
          </w:p>
          <w:p>
            <w:pPr>
              <w:spacing w:line="280" w:lineRule="exact"/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按下“低报”键，“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>AL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”低报闪烁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》》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“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drawing>
                <wp:inline distT="0" distB="0" distL="0" distR="0">
                  <wp:extent cx="63500" cy="76200"/>
                  <wp:effectExtent l="0" t="0" r="0" b="0"/>
                  <wp:docPr id="2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”、“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drawing>
                <wp:inline distT="0" distB="0" distL="0" distR="0">
                  <wp:extent cx="76200" cy="76200"/>
                  <wp:effectExtent l="0" t="0" r="0" b="0"/>
                  <wp:docPr id="6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”键位选，“▼”、“▲”调整低报值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sz w:val="15"/>
                <w:szCs w:val="15"/>
              </w:rPr>
              <w:t>…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sz w:val="15"/>
                <w:szCs w:val="15"/>
              </w:rPr>
              <w:t>…</w:t>
            </w:r>
          </w:p>
          <w:p>
            <w:pPr>
              <w:spacing w:line="280" w:lineRule="exact"/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按“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>ok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”键，显示“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>good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”，数据存储并退出！</w:t>
            </w:r>
          </w:p>
          <w:p>
            <w:pPr>
              <w:spacing w:line="280" w:lineRule="exact"/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按“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drawing>
                <wp:inline distT="0" distB="0" distL="0" distR="0">
                  <wp:extent cx="184150" cy="152400"/>
                  <wp:effectExtent l="0" t="0" r="6350" b="0"/>
                  <wp:docPr id="12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”键，显示“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>ESC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”，自动退出，数据不存储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>!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</w:tcPr>
          <w:p>
            <w:pPr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宋体" w:hAnsi="Times New Roman" w:eastAsia="宋体" w:cs="Times New Roman"/>
                <w:sz w:val="15"/>
                <w:szCs w:val="15"/>
              </w:rPr>
              <w:t>“高报”</w:t>
            </w:r>
          </w:p>
        </w:tc>
        <w:tc>
          <w:tcPr>
            <w:tcW w:w="909" w:type="dxa"/>
          </w:tcPr>
          <w:p>
            <w:pPr>
              <w:jc w:val="center"/>
              <w:rPr>
                <w:rFonts w:ascii="宋体" w:hAnsi="宋体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“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>1111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</w:t>
            </w:r>
          </w:p>
        </w:tc>
        <w:tc>
          <w:tcPr>
            <w:tcW w:w="5770" w:type="dxa"/>
          </w:tcPr>
          <w:p>
            <w:pPr>
              <w:spacing w:line="280" w:lineRule="exact"/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按“功能”键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》》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输入密码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- - - -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》》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按“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>ok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”键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sz w:val="15"/>
                <w:szCs w:val="15"/>
              </w:rPr>
              <w:t>…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sz w:val="15"/>
                <w:szCs w:val="15"/>
              </w:rPr>
              <w:t>…</w:t>
            </w:r>
          </w:p>
          <w:p>
            <w:pPr>
              <w:spacing w:line="280" w:lineRule="exact"/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按下“高报”键，“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>AL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”高报闪烁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》》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“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drawing>
                <wp:inline distT="0" distB="0" distL="0" distR="0">
                  <wp:extent cx="63500" cy="76200"/>
                  <wp:effectExtent l="0" t="0" r="0" b="0"/>
                  <wp:docPr id="36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”、“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drawing>
                <wp:inline distT="0" distB="0" distL="0" distR="0">
                  <wp:extent cx="76200" cy="76200"/>
                  <wp:effectExtent l="0" t="0" r="0" b="0"/>
                  <wp:docPr id="37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”键位选，“▼”、“▲”调整高报值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sz w:val="15"/>
                <w:szCs w:val="15"/>
              </w:rPr>
              <w:t>…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sz w:val="15"/>
                <w:szCs w:val="15"/>
              </w:rPr>
              <w:t>…</w:t>
            </w:r>
          </w:p>
          <w:p>
            <w:pPr>
              <w:spacing w:line="280" w:lineRule="exact"/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按“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>ok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”键，显示“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>good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”，数据存储并退出！</w:t>
            </w:r>
          </w:p>
          <w:p>
            <w:pPr>
              <w:spacing w:line="280" w:lineRule="exact"/>
              <w:rPr>
                <w:rFonts w:ascii="宋体" w:hAnsi="宋体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按“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drawing>
                <wp:inline distT="0" distB="0" distL="0" distR="0">
                  <wp:extent cx="184150" cy="152400"/>
                  <wp:effectExtent l="0" t="0" r="6350" b="0"/>
                  <wp:docPr id="38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”键，显示“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>ESC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”，自动退出，数据不存储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>!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</w:tcPr>
          <w:p>
            <w:pPr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宋体" w:hAnsi="Times New Roman" w:eastAsia="宋体" w:cs="Times New Roman"/>
                <w:sz w:val="15"/>
                <w:szCs w:val="15"/>
              </w:rPr>
              <w:t xml:space="preserve"> “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量程</w:t>
            </w:r>
            <w:r>
              <w:rPr>
                <w:rFonts w:hint="eastAsia" w:ascii="宋体" w:hAnsi="Times New Roman" w:eastAsia="宋体" w:cs="Times New Roman"/>
                <w:sz w:val="15"/>
                <w:szCs w:val="15"/>
              </w:rPr>
              <w:t>”</w:t>
            </w:r>
          </w:p>
          <w:p>
            <w:pPr>
              <w:rPr>
                <w:rFonts w:ascii="宋体" w:hAnsi="Times New Roman" w:eastAsia="宋体" w:cs="Times New Roman"/>
                <w:sz w:val="15"/>
                <w:szCs w:val="15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“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>0911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</w:t>
            </w:r>
          </w:p>
        </w:tc>
        <w:tc>
          <w:tcPr>
            <w:tcW w:w="5770" w:type="dxa"/>
          </w:tcPr>
          <w:p>
            <w:pPr>
              <w:spacing w:line="280" w:lineRule="exact"/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按“功能”键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》》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输入密码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- - - -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》》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按“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>ok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”键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sz w:val="15"/>
                <w:szCs w:val="15"/>
              </w:rPr>
              <w:t>…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sz w:val="15"/>
                <w:szCs w:val="15"/>
              </w:rPr>
              <w:t>…</w:t>
            </w:r>
          </w:p>
          <w:p>
            <w:pPr>
              <w:spacing w:line="280" w:lineRule="exact"/>
              <w:rPr>
                <w:rFonts w:ascii="宋体" w:hAnsi="Times New Roman" w:eastAsia="宋体" w:cs="Times New Roman"/>
                <w:sz w:val="15"/>
                <w:szCs w:val="15"/>
              </w:rPr>
            </w:pPr>
          </w:p>
          <w:p>
            <w:pPr>
              <w:spacing w:line="280" w:lineRule="exact"/>
              <w:rPr>
                <w:rFonts w:ascii="宋体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b/>
                <w:sz w:val="15"/>
                <w:szCs w:val="15"/>
              </w:rPr>
              <w:t>量程：（探测器的量程范围设置）</w:t>
            </w:r>
          </w:p>
          <w:p>
            <w:pPr>
              <w:spacing w:line="260" w:lineRule="exact"/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按下“</w:t>
            </w:r>
            <w:r>
              <w:rPr>
                <w:rFonts w:hint="eastAsia" w:ascii="宋体" w:hAnsi="宋体" w:eastAsia="宋体" w:cs="Times New Roman"/>
                <w:b/>
                <w:sz w:val="15"/>
                <w:szCs w:val="15"/>
              </w:rPr>
              <w:t>量程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”键，浓度值闪烁，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》》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“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drawing>
                <wp:inline distT="0" distB="0" distL="0" distR="0">
                  <wp:extent cx="63500" cy="76200"/>
                  <wp:effectExtent l="0" t="0" r="0" b="0"/>
                  <wp:docPr id="14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”、“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drawing>
                <wp:inline distT="0" distB="0" distL="0" distR="0">
                  <wp:extent cx="76200" cy="76200"/>
                  <wp:effectExtent l="0" t="0" r="0" b="0"/>
                  <wp:docPr id="18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”键位选，“▼”、“▲”调整数值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sz w:val="15"/>
                <w:szCs w:val="15"/>
              </w:rPr>
              <w:t>…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sz w:val="15"/>
                <w:szCs w:val="15"/>
              </w:rPr>
              <w:t>…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</w:tcPr>
          <w:p>
            <w:pPr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“校零”</w:t>
            </w:r>
          </w:p>
          <w:p>
            <w:pPr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“跨度”</w:t>
            </w:r>
          </w:p>
          <w:p>
            <w:pPr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“标定”</w:t>
            </w:r>
          </w:p>
        </w:tc>
        <w:tc>
          <w:tcPr>
            <w:tcW w:w="909" w:type="dxa"/>
          </w:tcPr>
          <w:p>
            <w:pPr>
              <w:jc w:val="center"/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“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>6677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</w:t>
            </w:r>
          </w:p>
        </w:tc>
        <w:tc>
          <w:tcPr>
            <w:tcW w:w="5770" w:type="dxa"/>
          </w:tcPr>
          <w:p>
            <w:pPr>
              <w:spacing w:line="280" w:lineRule="exact"/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按“功能”键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》》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输入密码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- - - -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》》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按“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>ok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”键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sz w:val="15"/>
                <w:szCs w:val="15"/>
              </w:rPr>
              <w:t>…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sz w:val="15"/>
                <w:szCs w:val="15"/>
              </w:rPr>
              <w:t xml:space="preserve">… </w:t>
            </w:r>
          </w:p>
          <w:p>
            <w:pPr>
              <w:spacing w:line="280" w:lineRule="exact"/>
              <w:ind w:left="443" w:hanging="443" w:hangingChars="294"/>
              <w:rPr>
                <w:rFonts w:ascii="宋体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b/>
                <w:sz w:val="15"/>
                <w:szCs w:val="15"/>
              </w:rPr>
              <w:t>校零：（探测器校零）</w:t>
            </w:r>
          </w:p>
          <w:p>
            <w:pPr>
              <w:spacing w:line="260" w:lineRule="exact"/>
              <w:ind w:left="441" w:hanging="441" w:hangingChars="294"/>
              <w:rPr>
                <w:rFonts w:ascii="宋体" w:hAnsi="宋体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按下“校零”键，显示“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drawing>
                <wp:inline distT="0" distB="0" distL="0" distR="0">
                  <wp:extent cx="209550" cy="107950"/>
                  <wp:effectExtent l="0" t="0" r="0" b="6350"/>
                  <wp:docPr id="19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biLevel thresh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159" r="-50282" b="-42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”、“零点数值”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》》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数值稳定后按下“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>ok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”键！</w:t>
            </w:r>
          </w:p>
          <w:p>
            <w:pPr>
              <w:spacing w:line="260" w:lineRule="exact"/>
              <w:ind w:left="441" w:hanging="441" w:hangingChars="294"/>
              <w:rPr>
                <w:rFonts w:ascii="宋体" w:hAnsi="Times New Roman" w:eastAsia="宋体" w:cs="Times New Roman"/>
                <w:sz w:val="15"/>
                <w:szCs w:val="15"/>
              </w:rPr>
            </w:pPr>
          </w:p>
          <w:p>
            <w:pPr>
              <w:spacing w:line="280" w:lineRule="exact"/>
              <w:rPr>
                <w:rFonts w:ascii="宋体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b/>
                <w:sz w:val="15"/>
                <w:szCs w:val="15"/>
              </w:rPr>
              <w:t>跨度：（标气浓度）</w:t>
            </w:r>
          </w:p>
          <w:p>
            <w:pPr>
              <w:spacing w:line="260" w:lineRule="exact"/>
              <w:rPr>
                <w:rFonts w:ascii="宋体" w:hAnsi="宋体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按下“跨度”键，显示“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drawing>
                <wp:inline distT="0" distB="0" distL="0" distR="0">
                  <wp:extent cx="266700" cy="152400"/>
                  <wp:effectExtent l="0" t="0" r="0" b="0"/>
                  <wp:docPr id="21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biLevel thresh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445" r="-12460" b="-214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”、“跨度值”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》》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“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drawing>
                <wp:inline distT="0" distB="0" distL="0" distR="0">
                  <wp:extent cx="63500" cy="76200"/>
                  <wp:effectExtent l="0" t="0" r="0" b="0"/>
                  <wp:docPr id="22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”、“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drawing>
                <wp:inline distT="0" distB="0" distL="0" distR="0">
                  <wp:extent cx="76200" cy="76200"/>
                  <wp:effectExtent l="0" t="0" r="0" b="0"/>
                  <wp:docPr id="27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”键位选，“▼”、“▲”调整数值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》》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按“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>ok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”键存储退出！</w:t>
            </w:r>
          </w:p>
          <w:p>
            <w:pPr>
              <w:spacing w:line="260" w:lineRule="exact"/>
              <w:rPr>
                <w:rFonts w:ascii="宋体" w:hAnsi="宋体" w:eastAsia="宋体" w:cs="Times New Roman"/>
                <w:sz w:val="15"/>
                <w:szCs w:val="15"/>
              </w:rPr>
            </w:pPr>
          </w:p>
          <w:p>
            <w:pPr>
              <w:spacing w:line="280" w:lineRule="exact"/>
              <w:rPr>
                <w:rFonts w:ascii="宋体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b/>
                <w:sz w:val="15"/>
                <w:szCs w:val="15"/>
              </w:rPr>
              <w:t>标定：（气体标定）</w:t>
            </w:r>
          </w:p>
          <w:p>
            <w:pPr>
              <w:spacing w:line="280" w:lineRule="exact"/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按下“标定”键，显示“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drawing>
                <wp:inline distT="0" distB="0" distL="0" distR="0">
                  <wp:extent cx="311150" cy="120650"/>
                  <wp:effectExtent l="0" t="0" r="0" b="0"/>
                  <wp:docPr id="28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biLevel thresh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362" r="-18912" b="-381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》》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通入标气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》》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数值稳定后按下“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>ok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”键，显示“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>good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”数据存储并退出，关闭气源！</w:t>
            </w:r>
          </w:p>
        </w:tc>
      </w:tr>
    </w:tbl>
    <w:p>
      <w:pPr>
        <w:pStyle w:val="2"/>
        <w:numPr>
          <w:ilvl w:val="0"/>
          <w:numId w:val="0"/>
        </w:numPr>
        <w:ind w:left="420"/>
      </w:pPr>
    </w:p>
    <w:p/>
    <w:p/>
    <w:p>
      <w:pPr>
        <w:pStyle w:val="2"/>
      </w:pPr>
      <w:bookmarkStart w:id="5" w:name="_Toc426986414"/>
      <w:r>
        <w:rPr>
          <w:rFonts w:hint="eastAsia"/>
        </w:rPr>
        <w:t>参数说明：</w:t>
      </w:r>
      <w:bookmarkEnd w:id="5"/>
    </w:p>
    <w:tbl>
      <w:tblPr>
        <w:tblStyle w:val="9"/>
        <w:tblW w:w="7620" w:type="dxa"/>
        <w:jc w:val="center"/>
        <w:tblInd w:w="0" w:type="dxa"/>
        <w:tblBorders>
          <w:top w:val="single" w:color="948A54" w:themeColor="background2" w:themeShade="80" w:sz="4" w:space="0"/>
          <w:left w:val="single" w:color="948A54" w:themeColor="background2" w:themeShade="80" w:sz="4" w:space="0"/>
          <w:bottom w:val="single" w:color="948A54" w:themeColor="background2" w:themeShade="80" w:sz="4" w:space="0"/>
          <w:right w:val="single" w:color="948A54" w:themeColor="background2" w:themeShade="80" w:sz="4" w:space="0"/>
          <w:insideH w:val="single" w:color="948A54" w:themeColor="background2" w:themeShade="80" w:sz="4" w:space="0"/>
          <w:insideV w:val="single" w:color="948A54" w:themeColor="background2" w:themeShade="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774"/>
        <w:gridCol w:w="853"/>
        <w:gridCol w:w="574"/>
        <w:gridCol w:w="917"/>
        <w:gridCol w:w="598"/>
        <w:gridCol w:w="669"/>
        <w:gridCol w:w="713"/>
        <w:gridCol w:w="747"/>
        <w:gridCol w:w="813"/>
      </w:tblGrid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62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型号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检测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气体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工作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电压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采样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方式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检测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原理</w:t>
            </w:r>
          </w:p>
        </w:tc>
        <w:tc>
          <w:tcPr>
            <w:tcW w:w="598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通讯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方式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显示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方式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报警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方式</w:t>
            </w:r>
          </w:p>
        </w:tc>
        <w:tc>
          <w:tcPr>
            <w:tcW w:w="747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信号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输出</w:t>
            </w:r>
          </w:p>
        </w:tc>
        <w:tc>
          <w:tcPr>
            <w:tcW w:w="813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防爆等级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62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hint="eastAsia" w:asciiTheme="minorEastAsia" w:hAnsiTheme="minorEastAsia" w:eastAsiaTheme="minorEastAsia"/>
                <w:sz w:val="13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3"/>
                <w:szCs w:val="20"/>
                <w:lang w:val="en-US" w:eastAsia="zh-CN"/>
              </w:rPr>
              <w:t>DN-T4000A/XY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甲烷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DC24V</w:t>
            </w:r>
            <w:r>
              <w:rPr>
                <w:rFonts w:hint="eastAsia" w:asciiTheme="minorEastAsia" w:hAnsiTheme="minorEastAsia"/>
                <w:sz w:val="11"/>
                <w:szCs w:val="11"/>
              </w:rPr>
              <w:t>±15%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自由扩散式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催化燃烧式</w:t>
            </w:r>
          </w:p>
        </w:tc>
        <w:tc>
          <w:tcPr>
            <w:tcW w:w="598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三线</w:t>
            </w:r>
          </w:p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4-20mA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LCD显示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警灯选配</w:t>
            </w:r>
          </w:p>
        </w:tc>
        <w:tc>
          <w:tcPr>
            <w:tcW w:w="747" w:type="dxa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无源常开触点</w:t>
            </w:r>
          </w:p>
        </w:tc>
        <w:tc>
          <w:tcPr>
            <w:tcW w:w="813" w:type="dxa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EXd IIC T6 Gb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2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 w:asciiTheme="minorEastAsia" w:hAnsiTheme="minorEastAsia"/>
                <w:sz w:val="13"/>
                <w:szCs w:val="20"/>
                <w:lang w:val="en-US" w:eastAsia="zh-CN"/>
              </w:rPr>
              <w:t>DN-T4000A/XY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可燃液体、有机蒸汽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DC24V</w:t>
            </w:r>
            <w:r>
              <w:rPr>
                <w:rFonts w:hint="eastAsia" w:asciiTheme="minorEastAsia" w:hAnsiTheme="minorEastAsia"/>
                <w:sz w:val="11"/>
                <w:szCs w:val="11"/>
              </w:rPr>
              <w:t>±15%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自由扩散式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催化燃烧式、</w:t>
            </w:r>
          </w:p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半导体式</w:t>
            </w:r>
          </w:p>
        </w:tc>
        <w:tc>
          <w:tcPr>
            <w:tcW w:w="598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三线</w:t>
            </w:r>
          </w:p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4-20mA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LCD显示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警灯选配</w:t>
            </w:r>
          </w:p>
        </w:tc>
        <w:tc>
          <w:tcPr>
            <w:tcW w:w="747" w:type="dxa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无源常开触点</w:t>
            </w:r>
          </w:p>
        </w:tc>
        <w:tc>
          <w:tcPr>
            <w:tcW w:w="813" w:type="dxa"/>
            <w:vAlign w:val="center"/>
          </w:tcPr>
          <w:p>
            <w:r>
              <w:rPr>
                <w:rFonts w:hint="eastAsia"/>
                <w:sz w:val="11"/>
                <w:szCs w:val="11"/>
              </w:rPr>
              <w:t>EXd IIC T6 Gb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962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 w:asciiTheme="minorEastAsia" w:hAnsiTheme="minorEastAsia"/>
                <w:sz w:val="13"/>
                <w:szCs w:val="20"/>
                <w:lang w:val="en-US" w:eastAsia="zh-CN"/>
              </w:rPr>
              <w:t>DN-T4000A/XY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有毒有害气体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DC24V</w:t>
            </w:r>
            <w:r>
              <w:rPr>
                <w:rFonts w:hint="eastAsia" w:asciiTheme="minorEastAsia" w:hAnsiTheme="minorEastAsia"/>
                <w:sz w:val="11"/>
                <w:szCs w:val="11"/>
              </w:rPr>
              <w:t>±15%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自由扩散式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电化学式、</w:t>
            </w:r>
          </w:p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红外式、</w:t>
            </w:r>
          </w:p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半导体式</w:t>
            </w:r>
          </w:p>
        </w:tc>
        <w:tc>
          <w:tcPr>
            <w:tcW w:w="598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三线</w:t>
            </w:r>
          </w:p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4-20mA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LCD显示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警灯选配</w:t>
            </w:r>
          </w:p>
        </w:tc>
        <w:tc>
          <w:tcPr>
            <w:tcW w:w="747" w:type="dxa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无源常开触点</w:t>
            </w:r>
          </w:p>
        </w:tc>
        <w:tc>
          <w:tcPr>
            <w:tcW w:w="813" w:type="dxa"/>
            <w:vAlign w:val="center"/>
          </w:tcPr>
          <w:p>
            <w:r>
              <w:rPr>
                <w:rFonts w:hint="eastAsia"/>
                <w:sz w:val="11"/>
                <w:szCs w:val="11"/>
              </w:rPr>
              <w:t>EXd IIC T6 Gb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962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 w:asciiTheme="minorEastAsia" w:hAnsiTheme="minorEastAsia"/>
                <w:sz w:val="13"/>
                <w:szCs w:val="20"/>
                <w:lang w:val="en-US" w:eastAsia="zh-CN"/>
              </w:rPr>
              <w:t>DN-T4000A/XY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有毒有害气体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DC24V</w:t>
            </w:r>
            <w:r>
              <w:rPr>
                <w:rFonts w:hint="eastAsia" w:asciiTheme="minorEastAsia" w:hAnsiTheme="minorEastAsia"/>
                <w:sz w:val="11"/>
                <w:szCs w:val="11"/>
              </w:rPr>
              <w:t>±15%</w:t>
            </w: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自由扩散式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电化学式</w:t>
            </w:r>
          </w:p>
        </w:tc>
        <w:tc>
          <w:tcPr>
            <w:tcW w:w="598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两线</w:t>
            </w:r>
          </w:p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4-20mA</w:t>
            </w: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LCD显示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无</w:t>
            </w:r>
          </w:p>
        </w:tc>
        <w:tc>
          <w:tcPr>
            <w:tcW w:w="747" w:type="dxa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无</w:t>
            </w:r>
          </w:p>
        </w:tc>
        <w:tc>
          <w:tcPr>
            <w:tcW w:w="813" w:type="dxa"/>
            <w:vAlign w:val="center"/>
          </w:tcPr>
          <w:p>
            <w:r>
              <w:rPr>
                <w:rFonts w:hint="eastAsia"/>
                <w:sz w:val="11"/>
                <w:szCs w:val="11"/>
              </w:rPr>
              <w:t>EXd IIC T6 Gb</w:t>
            </w:r>
          </w:p>
        </w:tc>
      </w:tr>
    </w:tbl>
    <w:p>
      <w:pPr>
        <w:pStyle w:val="2"/>
        <w:numPr>
          <w:ilvl w:val="0"/>
          <w:numId w:val="0"/>
        </w:numPr>
        <w:ind w:left="420"/>
      </w:pPr>
      <w:bookmarkStart w:id="6" w:name="_Toc408651765"/>
    </w:p>
    <w:p/>
    <w:p/>
    <w:p/>
    <w:p/>
    <w:p>
      <w:pPr>
        <w:pStyle w:val="2"/>
      </w:pPr>
      <w:bookmarkStart w:id="7" w:name="_Toc426986415"/>
      <w:r>
        <w:rPr>
          <w:rFonts w:hint="eastAsia"/>
        </w:rPr>
        <w:t>常见气体说明：</w:t>
      </w:r>
      <w:bookmarkEnd w:id="6"/>
      <w:bookmarkEnd w:id="7"/>
    </w:p>
    <w:tbl>
      <w:tblPr>
        <w:tblStyle w:val="9"/>
        <w:tblW w:w="7618" w:type="dxa"/>
        <w:jc w:val="center"/>
        <w:tblInd w:w="0" w:type="dxa"/>
        <w:tblBorders>
          <w:top w:val="single" w:color="948A54" w:themeColor="background2" w:themeShade="80" w:sz="4" w:space="0"/>
          <w:left w:val="single" w:color="948A54" w:themeColor="background2" w:themeShade="80" w:sz="4" w:space="0"/>
          <w:bottom w:val="single" w:color="948A54" w:themeColor="background2" w:themeShade="80" w:sz="4" w:space="0"/>
          <w:right w:val="single" w:color="948A54" w:themeColor="background2" w:themeShade="80" w:sz="4" w:space="0"/>
          <w:insideH w:val="single" w:color="948A54" w:themeColor="background2" w:themeShade="80" w:sz="4" w:space="0"/>
          <w:insideV w:val="single" w:color="948A54" w:themeColor="background2" w:themeShade="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14"/>
        <w:gridCol w:w="676"/>
        <w:gridCol w:w="676"/>
        <w:gridCol w:w="906"/>
        <w:gridCol w:w="831"/>
        <w:gridCol w:w="925"/>
        <w:gridCol w:w="538"/>
        <w:gridCol w:w="554"/>
        <w:gridCol w:w="858"/>
      </w:tblGrid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气体名称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量程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分辨率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报警点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工作温度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工作湿度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工作压力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响应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时间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b/>
                <w:sz w:val="11"/>
                <w:szCs w:val="11"/>
              </w:rPr>
            </w:pPr>
            <w:r>
              <w:rPr>
                <w:rFonts w:hint="eastAsia" w:asciiTheme="minorEastAsia" w:hAnsiTheme="minorEastAsia"/>
                <w:b/>
                <w:sz w:val="11"/>
                <w:szCs w:val="11"/>
              </w:rPr>
              <w:t>寿命（月）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b/>
                <w:sz w:val="13"/>
              </w:rPr>
            </w:pPr>
            <w:r>
              <w:rPr>
                <w:rFonts w:hint="eastAsia" w:asciiTheme="minorEastAsia" w:hAnsiTheme="minorEastAsia"/>
                <w:b/>
                <w:sz w:val="13"/>
              </w:rPr>
              <w:t>干扰气体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甲烷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0-100%LEL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1%LEL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25%LEL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-40℃~70℃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10~95%RH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86~106kpa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≤30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24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  <w:highlight w:val="yellow"/>
              </w:rPr>
            </w:pP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可燃液体、</w:t>
            </w:r>
          </w:p>
          <w:p>
            <w:pPr>
              <w:spacing w:line="200" w:lineRule="exact"/>
              <w:jc w:val="lef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有机蒸汽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0-100%LEL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1%LEL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25%LEL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-20℃~50℃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10~95%RH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86~106kpa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≤30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24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sz w:val="11"/>
                <w:szCs w:val="11"/>
                <w:highlight w:val="yellow"/>
              </w:rPr>
            </w:pP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CO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0-1000ppm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1ppm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80ppm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-20℃~50℃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10~95%RH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86~106kpa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≤60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rFonts w:hint="eastAsia"/>
                <w:color w:val="000000" w:themeColor="text1"/>
                <w:sz w:val="11"/>
                <w:szCs w:val="11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NO</w:t>
            </w:r>
            <w:r>
              <w:rPr>
                <w:rFonts w:hint="eastAsia"/>
                <w:sz w:val="11"/>
                <w:szCs w:val="11"/>
                <w:vertAlign w:val="subscript"/>
              </w:rPr>
              <w:t>2</w:t>
            </w:r>
            <w:r>
              <w:rPr>
                <w:rFonts w:hint="eastAsia"/>
                <w:sz w:val="11"/>
                <w:szCs w:val="11"/>
              </w:rPr>
              <w:t>、HCN、乙烯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H</w:t>
            </w:r>
            <w:r>
              <w:rPr>
                <w:rFonts w:hint="eastAsia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0-1000ppm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1ppm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80ppm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-20℃~50℃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10~95%RH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86~106kpa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≤60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CO、H</w:t>
            </w:r>
            <w:r>
              <w:rPr>
                <w:rFonts w:hint="eastAsia"/>
                <w:sz w:val="11"/>
                <w:szCs w:val="11"/>
                <w:vertAlign w:val="subscript"/>
              </w:rPr>
              <w:t>2</w:t>
            </w:r>
            <w:r>
              <w:rPr>
                <w:rFonts w:hint="eastAsia"/>
                <w:sz w:val="11"/>
                <w:szCs w:val="11"/>
              </w:rPr>
              <w:t>S、NO、HCN、乙烯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H</w:t>
            </w:r>
            <w:r>
              <w:rPr>
                <w:rFonts w:hint="eastAsia"/>
                <w:sz w:val="11"/>
                <w:szCs w:val="11"/>
                <w:vertAlign w:val="subscript"/>
              </w:rPr>
              <w:t>2</w:t>
            </w:r>
            <w:r>
              <w:rPr>
                <w:rFonts w:hint="eastAsia"/>
                <w:sz w:val="11"/>
                <w:szCs w:val="11"/>
              </w:rPr>
              <w:t>S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0-50ppm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0.1ppm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8ppm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-20℃~50℃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rFonts w:hint="eastAsia"/>
                <w:color w:val="000000" w:themeColor="text1"/>
                <w:sz w:val="11"/>
                <w:szCs w:val="11"/>
              </w:rPr>
              <w:t>10~95%RH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86~106kpa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≤60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SO</w:t>
            </w:r>
            <w:r>
              <w:rPr>
                <w:rFonts w:hint="eastAsia"/>
                <w:sz w:val="11"/>
                <w:szCs w:val="11"/>
                <w:vertAlign w:val="subscript"/>
              </w:rPr>
              <w:t>2</w:t>
            </w:r>
            <w:r>
              <w:rPr>
                <w:rFonts w:hint="eastAsia"/>
                <w:sz w:val="11"/>
                <w:szCs w:val="11"/>
              </w:rPr>
              <w:t>、CL</w:t>
            </w:r>
            <w:r>
              <w:rPr>
                <w:rFonts w:hint="eastAsia"/>
                <w:sz w:val="11"/>
                <w:szCs w:val="11"/>
                <w:vertAlign w:val="subscript"/>
              </w:rPr>
              <w:t>2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CL</w:t>
            </w:r>
            <w:r>
              <w:rPr>
                <w:rFonts w:hint="eastAsia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0-20ppm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0.1ppm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8ppm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-20℃~50℃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10~95%RH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86~106kpa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≤60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NO</w:t>
            </w:r>
            <w:r>
              <w:rPr>
                <w:rFonts w:hint="eastAsia"/>
                <w:sz w:val="11"/>
                <w:szCs w:val="11"/>
                <w:vertAlign w:val="subscript"/>
              </w:rPr>
              <w:t>2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SO</w:t>
            </w:r>
            <w:r>
              <w:rPr>
                <w:rFonts w:hint="eastAsia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0-50ppm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0.1ppm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8ppm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-20℃~50℃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rFonts w:hint="eastAsia"/>
                <w:color w:val="000000" w:themeColor="text1"/>
                <w:sz w:val="11"/>
                <w:szCs w:val="11"/>
              </w:rPr>
              <w:t>10~95%RH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86~106kpa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≤60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H</w:t>
            </w:r>
            <w:r>
              <w:rPr>
                <w:rFonts w:hint="eastAsia"/>
                <w:sz w:val="11"/>
                <w:szCs w:val="11"/>
                <w:vertAlign w:val="subscript"/>
              </w:rPr>
              <w:t>2</w:t>
            </w:r>
            <w:r>
              <w:rPr>
                <w:rFonts w:hint="eastAsia"/>
                <w:sz w:val="11"/>
                <w:szCs w:val="11"/>
              </w:rPr>
              <w:t>S、HCN、HCL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O</w:t>
            </w:r>
            <w:r>
              <w:rPr>
                <w:rFonts w:hint="eastAsia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0-30%VOL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0.1%VOL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18%VOL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-20℃~50℃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10~95%RH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86~106kpa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≤60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无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NH</w:t>
            </w:r>
            <w:r>
              <w:rPr>
                <w:rFonts w:hint="eastAsia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0-1000ppm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1ppm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80ppm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rFonts w:hint="eastAsia"/>
                <w:color w:val="000000" w:themeColor="text1"/>
                <w:sz w:val="11"/>
                <w:szCs w:val="11"/>
              </w:rPr>
              <w:t>-10℃~40℃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rFonts w:hint="eastAsia"/>
                <w:color w:val="000000" w:themeColor="text1"/>
                <w:sz w:val="11"/>
                <w:szCs w:val="11"/>
              </w:rPr>
              <w:t>10~95%RH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86~106kpa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≤60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H</w:t>
            </w:r>
            <w:r>
              <w:rPr>
                <w:rFonts w:hint="eastAsia"/>
                <w:sz w:val="11"/>
                <w:szCs w:val="11"/>
                <w:vertAlign w:val="subscript"/>
              </w:rPr>
              <w:t>2</w:t>
            </w:r>
            <w:r>
              <w:rPr>
                <w:rFonts w:hint="eastAsia"/>
                <w:sz w:val="11"/>
                <w:szCs w:val="11"/>
              </w:rPr>
              <w:t>S、SO</w:t>
            </w:r>
            <w:r>
              <w:rPr>
                <w:rFonts w:hint="eastAsia"/>
                <w:sz w:val="11"/>
                <w:szCs w:val="11"/>
                <w:vertAlign w:val="subscript"/>
              </w:rPr>
              <w:t>2</w:t>
            </w:r>
            <w:r>
              <w:rPr>
                <w:rFonts w:hint="eastAsia"/>
                <w:sz w:val="11"/>
                <w:szCs w:val="11"/>
              </w:rPr>
              <w:t>、CL</w:t>
            </w:r>
            <w:r>
              <w:rPr>
                <w:rFonts w:hint="eastAsia"/>
                <w:sz w:val="11"/>
                <w:szCs w:val="11"/>
                <w:vertAlign w:val="subscript"/>
              </w:rPr>
              <w:t>2</w:t>
            </w:r>
            <w:r>
              <w:rPr>
                <w:rFonts w:hint="eastAsia"/>
                <w:sz w:val="11"/>
                <w:szCs w:val="11"/>
              </w:rPr>
              <w:t>、NO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NO</w:t>
            </w:r>
            <w:r>
              <w:rPr>
                <w:rFonts w:hint="eastAsia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0-20ppm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0.1ppm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8ppm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-20℃~50℃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10~95%RH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86~106kpa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≤60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CL</w:t>
            </w:r>
            <w:r>
              <w:rPr>
                <w:rFonts w:hint="eastAsia"/>
                <w:sz w:val="11"/>
                <w:szCs w:val="11"/>
                <w:vertAlign w:val="subscript"/>
              </w:rPr>
              <w:t>2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HCL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0-20ppm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0.1ppm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8ppm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-20℃~45℃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10~95%RH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86~106kpa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≤60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HBr、H</w:t>
            </w:r>
            <w:r>
              <w:rPr>
                <w:rFonts w:hint="eastAsia"/>
                <w:sz w:val="11"/>
                <w:szCs w:val="11"/>
                <w:vertAlign w:val="subscript"/>
              </w:rPr>
              <w:t>2</w:t>
            </w:r>
            <w:r>
              <w:rPr>
                <w:rFonts w:hint="eastAsia"/>
                <w:sz w:val="11"/>
                <w:szCs w:val="11"/>
              </w:rPr>
              <w:t>S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84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PH</w:t>
            </w:r>
            <w:r>
              <w:rPr>
                <w:rFonts w:hint="eastAsia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0-20ppm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0.1ppm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8ppm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-20℃~45℃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10~95%RH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86~106kpa</w:t>
            </w:r>
          </w:p>
        </w:tc>
        <w:tc>
          <w:tcPr>
            <w:tcW w:w="538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≤60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spacing w:line="20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SO</w:t>
            </w:r>
            <w:r>
              <w:rPr>
                <w:rFonts w:hint="eastAsia"/>
                <w:sz w:val="11"/>
                <w:szCs w:val="11"/>
                <w:vertAlign w:val="subscript"/>
              </w:rPr>
              <w:t>2</w:t>
            </w:r>
            <w:r>
              <w:rPr>
                <w:rFonts w:hint="eastAsia"/>
                <w:sz w:val="11"/>
                <w:szCs w:val="11"/>
              </w:rPr>
              <w:t>、SIH</w:t>
            </w:r>
            <w:r>
              <w:rPr>
                <w:rFonts w:hint="eastAsia"/>
                <w:sz w:val="11"/>
                <w:szCs w:val="11"/>
                <w:vertAlign w:val="subscript"/>
              </w:rPr>
              <w:t>4</w:t>
            </w:r>
          </w:p>
        </w:tc>
      </w:tr>
    </w:tbl>
    <w:p>
      <w:pPr>
        <w:pStyle w:val="2"/>
      </w:pPr>
      <w:bookmarkStart w:id="8" w:name="_Toc426986416"/>
      <w:r>
        <w:rPr>
          <w:rFonts w:hint="eastAsia"/>
        </w:rPr>
        <w:t>产品尺寸</w:t>
      </w:r>
      <w:bookmarkEnd w:id="8"/>
    </w:p>
    <w:tbl>
      <w:tblPr>
        <w:tblStyle w:val="10"/>
        <w:tblW w:w="7586" w:type="dxa"/>
        <w:tblInd w:w="0" w:type="dxa"/>
        <w:tblBorders>
          <w:top w:val="single" w:color="948A54" w:themeColor="background2" w:themeShade="80" w:sz="2" w:space="0"/>
          <w:left w:val="single" w:color="948A54" w:themeColor="background2" w:themeShade="80" w:sz="2" w:space="0"/>
          <w:bottom w:val="single" w:color="948A54" w:themeColor="background2" w:themeShade="80" w:sz="2" w:space="0"/>
          <w:right w:val="single" w:color="948A54" w:themeColor="background2" w:themeShade="80" w:sz="2" w:space="0"/>
          <w:insideH w:val="single" w:color="948A54" w:themeColor="background2" w:themeShade="80" w:sz="2" w:space="0"/>
          <w:insideV w:val="single" w:color="948A54" w:themeColor="background2" w:themeShade="8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6"/>
        <w:gridCol w:w="1640"/>
      </w:tblGrid>
      <w:tr>
        <w:tblPrEx>
          <w:tblBorders>
            <w:top w:val="single" w:color="948A54" w:themeColor="background2" w:themeShade="80" w:sz="2" w:space="0"/>
            <w:left w:val="single" w:color="948A54" w:themeColor="background2" w:themeShade="80" w:sz="2" w:space="0"/>
            <w:bottom w:val="single" w:color="948A54" w:themeColor="background2" w:themeShade="80" w:sz="2" w:space="0"/>
            <w:right w:val="single" w:color="948A54" w:themeColor="background2" w:themeShade="80" w:sz="2" w:space="0"/>
            <w:insideH w:val="single" w:color="948A54" w:themeColor="background2" w:themeShade="80" w:sz="2" w:space="0"/>
            <w:insideV w:val="single" w:color="948A54" w:themeColor="background2" w:themeShade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5946" w:type="dxa"/>
          </w:tcPr>
          <w:p>
            <w:pPr>
              <w:ind w:firstLine="840" w:firstLineChars="400"/>
              <w:jc w:val="left"/>
            </w:pPr>
            <w:r>
              <w:rPr>
                <w:rFonts w:hint="eastAsia"/>
              </w:rPr>
              <w:drawing>
                <wp:inline distT="0" distB="0" distL="114300" distR="114300">
                  <wp:extent cx="1450975" cy="1734185"/>
                  <wp:effectExtent l="0" t="0" r="15875" b="18415"/>
                  <wp:docPr id="9" name="图片 9" descr="正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正面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975" cy="173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</w:t>
            </w:r>
            <w:r>
              <w:drawing>
                <wp:inline distT="0" distB="0" distL="114300" distR="114300">
                  <wp:extent cx="1052830" cy="1635125"/>
                  <wp:effectExtent l="0" t="0" r="13970" b="3175"/>
                  <wp:docPr id="20" name="图片 20" descr="侧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侧面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0" cy="163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</w:tcPr>
          <w:p>
            <w:pPr>
              <w:spacing w:line="280" w:lineRule="exact"/>
              <w:rPr>
                <w:rFonts w:asciiTheme="minorEastAsia" w:hAnsiTheme="minorEastAsia"/>
                <w:sz w:val="13"/>
                <w:szCs w:val="20"/>
              </w:rPr>
            </w:pPr>
            <w:r>
              <w:rPr>
                <w:rFonts w:hint="eastAsia" w:asciiTheme="minorEastAsia" w:hAnsiTheme="minorEastAsia"/>
                <w:sz w:val="13"/>
                <w:szCs w:val="20"/>
              </w:rPr>
              <w:t>型号</w:t>
            </w:r>
            <w:r>
              <w:rPr>
                <w:rFonts w:hint="eastAsia" w:asciiTheme="minorEastAsia" w:hAnsiTheme="minorEastAsia"/>
                <w:sz w:val="13"/>
                <w:szCs w:val="20"/>
                <w:lang w:val="en-US" w:eastAsia="zh-CN"/>
              </w:rPr>
              <w:t>DN-T4000A/XY</w:t>
            </w:r>
            <w:r>
              <w:rPr>
                <w:rFonts w:hint="eastAsia" w:asciiTheme="minorEastAsia" w:hAnsiTheme="minorEastAsia"/>
                <w:sz w:val="13"/>
                <w:szCs w:val="20"/>
              </w:rPr>
              <w:t>：</w:t>
            </w:r>
          </w:p>
          <w:p>
            <w:pPr>
              <w:spacing w:line="280" w:lineRule="exact"/>
              <w:jc w:val="left"/>
              <w:rPr>
                <w:rFonts w:asciiTheme="minorEastAsia" w:hAnsiTheme="minorEastAsia"/>
                <w:sz w:val="13"/>
                <w:szCs w:val="20"/>
              </w:rPr>
            </w:pPr>
            <w:r>
              <w:rPr>
                <w:rFonts w:hint="eastAsia" w:asciiTheme="minorEastAsia" w:hAnsiTheme="minorEastAsia"/>
                <w:sz w:val="13"/>
                <w:szCs w:val="20"/>
              </w:rPr>
              <w:t>外形尺寸：</w:t>
            </w:r>
          </w:p>
          <w:p>
            <w:pPr>
              <w:spacing w:line="280" w:lineRule="exact"/>
              <w:rPr>
                <w:sz w:val="13"/>
                <w:szCs w:val="20"/>
                <w:highlight w:val="green"/>
              </w:rPr>
            </w:pPr>
            <w:r>
              <w:rPr>
                <w:rFonts w:hint="eastAsia" w:asciiTheme="minorEastAsia" w:hAnsiTheme="minorEastAsia"/>
                <w:sz w:val="13"/>
                <w:szCs w:val="20"/>
              </w:rPr>
              <w:t>1</w:t>
            </w:r>
            <w:r>
              <w:rPr>
                <w:rFonts w:hint="eastAsia" w:asciiTheme="minorEastAsia" w:hAnsiTheme="minorEastAsia"/>
                <w:sz w:val="13"/>
                <w:szCs w:val="20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 w:val="13"/>
                <w:szCs w:val="20"/>
              </w:rPr>
              <w:t>5mm×</w:t>
            </w:r>
            <w:r>
              <w:rPr>
                <w:rFonts w:hint="eastAsia" w:asciiTheme="minorEastAsia" w:hAnsiTheme="minorEastAsia"/>
                <w:sz w:val="13"/>
                <w:szCs w:val="20"/>
                <w:lang w:val="en-US" w:eastAsia="zh-CN"/>
              </w:rPr>
              <w:t>130</w:t>
            </w:r>
            <w:r>
              <w:rPr>
                <w:rFonts w:hint="eastAsia" w:asciiTheme="minorEastAsia" w:hAnsiTheme="minorEastAsia"/>
                <w:sz w:val="13"/>
                <w:szCs w:val="20"/>
              </w:rPr>
              <w:t>mm×7</w:t>
            </w:r>
            <w:r>
              <w:rPr>
                <w:rFonts w:hint="eastAsia" w:asciiTheme="minorEastAsia" w:hAnsiTheme="minorEastAsia"/>
                <w:sz w:val="13"/>
                <w:szCs w:val="20"/>
                <w:lang w:val="en-US" w:eastAsia="zh-CN"/>
              </w:rPr>
              <w:t>8.8</w:t>
            </w:r>
            <w:r>
              <w:rPr>
                <w:rFonts w:hint="eastAsia" w:asciiTheme="minorEastAsia" w:hAnsiTheme="minorEastAsia"/>
                <w:sz w:val="13"/>
                <w:szCs w:val="20"/>
              </w:rPr>
              <w:t>mm；</w:t>
            </w:r>
          </w:p>
        </w:tc>
      </w:tr>
    </w:tbl>
    <w:p>
      <w:pPr>
        <w:pStyle w:val="2"/>
      </w:pPr>
      <w:bookmarkStart w:id="9" w:name="_Toc426986417"/>
      <w:r>
        <w:rPr>
          <w:rFonts w:hint="eastAsia"/>
        </w:rPr>
        <w:t>产品安装：</w:t>
      </w:r>
      <w:bookmarkEnd w:id="9"/>
    </w:p>
    <w:tbl>
      <w:tblPr>
        <w:tblStyle w:val="10"/>
        <w:tblW w:w="7586" w:type="dxa"/>
        <w:tblInd w:w="0" w:type="dxa"/>
        <w:tblBorders>
          <w:top w:val="single" w:color="948A54" w:themeColor="background2" w:themeShade="80" w:sz="4" w:space="0"/>
          <w:left w:val="single" w:color="948A54" w:themeColor="background2" w:themeShade="80" w:sz="4" w:space="0"/>
          <w:bottom w:val="single" w:color="948A54" w:themeColor="background2" w:themeShade="80" w:sz="4" w:space="0"/>
          <w:right w:val="single" w:color="948A54" w:themeColor="background2" w:themeShade="80" w:sz="4" w:space="0"/>
          <w:insideH w:val="single" w:color="948A54" w:themeColor="background2" w:themeShade="80" w:sz="4" w:space="0"/>
          <w:insideV w:val="single" w:color="948A54" w:themeColor="background2" w:themeShade="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6"/>
      </w:tblGrid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7586" w:type="dxa"/>
          </w:tcPr>
          <w:p>
            <w:pPr>
              <w:ind w:firstLine="720" w:firstLineChars="400"/>
              <w:rPr>
                <w:sz w:val="18"/>
              </w:rPr>
            </w:pPr>
            <w:r>
              <w:rPr>
                <w:rFonts w:hint="eastAsia"/>
                <w:sz w:val="18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3594100</wp:posOffset>
                  </wp:positionH>
                  <wp:positionV relativeFrom="page">
                    <wp:posOffset>144780</wp:posOffset>
                  </wp:positionV>
                  <wp:extent cx="756920" cy="1268730"/>
                  <wp:effectExtent l="0" t="0" r="5080" b="7620"/>
                  <wp:wrapTight wrapText="bothSides">
                    <wp:wrapPolygon>
                      <wp:start x="0" y="0"/>
                      <wp:lineTo x="0" y="21405"/>
                      <wp:lineTo x="21201" y="21405"/>
                      <wp:lineTo x="21201" y="0"/>
                      <wp:lineTo x="0" y="0"/>
                    </wp:wrapPolygon>
                  </wp:wrapTight>
                  <wp:docPr id="26" name="图片 26" descr="侧靠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侧靠墙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18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132080</wp:posOffset>
                  </wp:positionV>
                  <wp:extent cx="1040765" cy="1172845"/>
                  <wp:effectExtent l="0" t="0" r="6985" b="8255"/>
                  <wp:wrapTopAndBottom/>
                  <wp:docPr id="25" name="图片 25" descr="正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正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5" cy="117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18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ge">
                    <wp:posOffset>145415</wp:posOffset>
                  </wp:positionV>
                  <wp:extent cx="1033145" cy="1178560"/>
                  <wp:effectExtent l="0" t="0" r="14605" b="2540"/>
                  <wp:wrapSquare wrapText="bothSides"/>
                  <wp:docPr id="30" name="图片 30" descr="证尺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证尺寸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17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18"/>
              </w:rPr>
              <w:t xml:space="preserve">               </w:t>
            </w:r>
          </w:p>
          <w:p>
            <w:pPr>
              <w:ind w:firstLine="3075" w:firstLineChars="2050"/>
              <w:rPr>
                <w:sz w:val="18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  </w:t>
            </w:r>
            <w:r>
              <w:rPr>
                <w:rFonts w:ascii="宋体" w:hAnsi="宋体"/>
                <w:sz w:val="15"/>
                <w:szCs w:val="15"/>
              </w:rPr>
              <w:t xml:space="preserve">   -----------------  </w:t>
            </w:r>
            <w:r>
              <w:rPr>
                <w:rFonts w:hint="eastAsia" w:ascii="宋体" w:hAnsi="宋体"/>
                <w:sz w:val="15"/>
                <w:szCs w:val="15"/>
              </w:rPr>
              <w:t>贴壁</w:t>
            </w:r>
            <w:r>
              <w:rPr>
                <w:rFonts w:ascii="宋体" w:hAnsi="宋体"/>
                <w:sz w:val="15"/>
                <w:szCs w:val="15"/>
              </w:rPr>
              <w:t xml:space="preserve">  -----------------------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586" w:type="dxa"/>
          </w:tcPr>
          <w:p>
            <w:pPr>
              <w:numPr>
                <w:ilvl w:val="0"/>
                <w:numId w:val="3"/>
              </w:numPr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探测器安装方式可采用抱管装、支架安装或贴壁安装，应确保安装牢固可靠。</w:t>
            </w:r>
          </w:p>
          <w:p>
            <w:pPr>
              <w:numPr>
                <w:ilvl w:val="0"/>
                <w:numId w:val="3"/>
              </w:numPr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安装固定孔直径为：Φ</w:t>
            </w:r>
            <w:r>
              <w:rPr>
                <w:rFonts w:ascii="宋体" w:hAnsi="宋体" w:eastAsia="宋体" w:cs="Times New Roman"/>
                <w:sz w:val="15"/>
                <w:szCs w:val="15"/>
              </w:rPr>
              <w:t>8mm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。</w:t>
            </w:r>
          </w:p>
          <w:p>
            <w:pPr>
              <w:numPr>
                <w:ilvl w:val="0"/>
                <w:numId w:val="3"/>
              </w:numPr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安装固定孔间距见上图（安装定位孔尺寸）。</w:t>
            </w:r>
          </w:p>
          <w:p>
            <w:pPr>
              <w:numPr>
                <w:ilvl w:val="0"/>
                <w:numId w:val="3"/>
              </w:numPr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探测器安装时应使传感器朝下固定。</w:t>
            </w:r>
          </w:p>
          <w:p>
            <w:pPr>
              <w:numPr>
                <w:ilvl w:val="0"/>
                <w:numId w:val="3"/>
              </w:numPr>
              <w:rPr>
                <w:rFonts w:ascii="宋体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正确连线后，应固定好探测器外盖，以达到防爆要求。</w:t>
            </w:r>
          </w:p>
        </w:tc>
      </w:tr>
    </w:tbl>
    <w:p>
      <w:pPr>
        <w:pStyle w:val="2"/>
      </w:pPr>
      <w:bookmarkStart w:id="10" w:name="_Toc426986418"/>
      <w:r>
        <w:rPr>
          <w:rFonts w:hint="eastAsia"/>
        </w:rPr>
        <w:t>接线端子说明</w:t>
      </w:r>
      <w:bookmarkEnd w:id="10"/>
    </w:p>
    <w:tbl>
      <w:tblPr>
        <w:tblStyle w:val="9"/>
        <w:tblW w:w="7510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7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5957" w:type="dxa"/>
          </w:tcPr>
          <w:p>
            <w:pPr>
              <w:ind w:left="3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图      示</w:t>
            </w:r>
          </w:p>
        </w:tc>
        <w:tc>
          <w:tcPr>
            <w:tcW w:w="1553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说    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5957" w:type="dxa"/>
          </w:tcPr>
          <w:p>
            <w:pPr>
              <w:ind w:left="3"/>
            </w:pPr>
            <w:r>
              <w:pict>
                <v:shape id="_x0000_s1048" o:spid="_x0000_s1048" o:spt="202" type="#_x0000_t202" style="position:absolute;left:0pt;margin-left:206.6pt;margin-top:53pt;height:19.85pt;width:40.2pt;z-index:251698176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b/>
                            <w:sz w:val="13"/>
                            <w:szCs w:val="13"/>
                          </w:rPr>
                          <w:t>（选配）</w:t>
                        </w:r>
                      </w:p>
                    </w:txbxContent>
                  </v:textbox>
                </v:shape>
              </w:pict>
            </w:r>
            <w:r>
              <w:drawing>
                <wp:inline distT="0" distB="0" distL="0" distR="0">
                  <wp:extent cx="3684270" cy="1087755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075" cy="108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</w:tcPr>
          <w:p>
            <w:pPr>
              <w:widowControl/>
              <w:jc w:val="left"/>
            </w:pPr>
          </w:p>
          <w:p>
            <w:pPr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三线制4-20mA通讯：</w:t>
            </w:r>
          </w:p>
          <w:p>
            <w:pPr>
              <w:spacing w:line="280" w:lineRule="exact"/>
              <w:rPr>
                <w:rFonts w:asciiTheme="minorEastAsia" w:hAnsiTheme="minorEastAsia"/>
                <w:sz w:val="13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5957" w:type="dxa"/>
          </w:tcPr>
          <w:p>
            <w:pPr>
              <w:ind w:left="3"/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drawing>
                <wp:inline distT="0" distB="0" distL="0" distR="0">
                  <wp:extent cx="2436495" cy="1083310"/>
                  <wp:effectExtent l="0" t="0" r="0" b="0"/>
                  <wp:docPr id="3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2071" t="4463" r="2439" b="40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690" cy="1084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</w:tcPr>
          <w:p>
            <w:pPr>
              <w:widowControl/>
              <w:jc w:val="left"/>
            </w:pPr>
          </w:p>
          <w:p>
            <w:pPr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两线制4-20mA通讯：</w:t>
            </w:r>
          </w:p>
          <w:p/>
        </w:tc>
      </w:tr>
    </w:tbl>
    <w:p>
      <w:pPr>
        <w:pStyle w:val="2"/>
      </w:pPr>
      <w:bookmarkStart w:id="11" w:name="_Toc426986419"/>
      <w:r>
        <w:rPr>
          <w:rFonts w:hint="eastAsia"/>
        </w:rPr>
        <w:t>安装原则：</w:t>
      </w:r>
      <w:bookmarkEnd w:id="11"/>
    </w:p>
    <w:p>
      <w:pPr>
        <w:pStyle w:val="13"/>
        <w:numPr>
          <w:ilvl w:val="0"/>
          <w:numId w:val="4"/>
        </w:numPr>
        <w:ind w:firstLineChars="0"/>
        <w:rPr>
          <w:sz w:val="15"/>
          <w:szCs w:val="16"/>
        </w:rPr>
      </w:pPr>
      <w:r>
        <w:rPr>
          <w:rFonts w:hint="eastAsia"/>
          <w:sz w:val="15"/>
          <w:szCs w:val="16"/>
        </w:rPr>
        <w:t>可燃气体探测器的有效覆盖水平半径：室内宜为</w:t>
      </w:r>
      <w:r>
        <w:rPr>
          <w:sz w:val="15"/>
          <w:szCs w:val="16"/>
        </w:rPr>
        <w:t>7.5</w:t>
      </w:r>
      <w:r>
        <w:rPr>
          <w:rFonts w:hint="eastAsia"/>
          <w:sz w:val="15"/>
          <w:szCs w:val="16"/>
        </w:rPr>
        <w:t>m，室外宜为</w:t>
      </w:r>
      <w:r>
        <w:rPr>
          <w:sz w:val="15"/>
          <w:szCs w:val="16"/>
        </w:rPr>
        <w:t>15</w:t>
      </w:r>
      <w:r>
        <w:rPr>
          <w:rFonts w:hint="eastAsia"/>
          <w:sz w:val="15"/>
          <w:szCs w:val="16"/>
        </w:rPr>
        <w:t>m。在有效覆盖面积内可设置一台探测器。</w:t>
      </w:r>
      <w:r>
        <w:rPr>
          <w:sz w:val="15"/>
          <w:szCs w:val="16"/>
        </w:rPr>
        <w:t xml:space="preserve"> </w:t>
      </w:r>
    </w:p>
    <w:p>
      <w:pPr>
        <w:pStyle w:val="13"/>
        <w:numPr>
          <w:ilvl w:val="0"/>
          <w:numId w:val="4"/>
        </w:numPr>
        <w:ind w:firstLineChars="0"/>
        <w:rPr>
          <w:sz w:val="15"/>
          <w:szCs w:val="16"/>
        </w:rPr>
      </w:pPr>
      <w:r>
        <w:rPr>
          <w:rFonts w:hint="eastAsia"/>
          <w:sz w:val="15"/>
          <w:szCs w:val="16"/>
        </w:rPr>
        <w:t>有毒气体探测器与释放源的距离：室外不宜大于</w:t>
      </w:r>
      <w:r>
        <w:rPr>
          <w:sz w:val="15"/>
          <w:szCs w:val="16"/>
        </w:rPr>
        <w:t>2</w:t>
      </w:r>
      <w:r>
        <w:rPr>
          <w:rFonts w:hint="eastAsia"/>
          <w:sz w:val="15"/>
          <w:szCs w:val="16"/>
        </w:rPr>
        <w:t>m，室内不宜大于</w:t>
      </w:r>
      <w:r>
        <w:rPr>
          <w:sz w:val="15"/>
          <w:szCs w:val="16"/>
        </w:rPr>
        <w:t>1</w:t>
      </w:r>
      <w:r>
        <w:rPr>
          <w:rFonts w:hint="eastAsia"/>
          <w:sz w:val="15"/>
          <w:szCs w:val="16"/>
        </w:rPr>
        <w:t>m。</w:t>
      </w:r>
    </w:p>
    <w:p>
      <w:pPr>
        <w:pStyle w:val="13"/>
        <w:numPr>
          <w:ilvl w:val="0"/>
          <w:numId w:val="4"/>
        </w:numPr>
        <w:ind w:firstLineChars="0"/>
        <w:rPr>
          <w:sz w:val="15"/>
          <w:szCs w:val="16"/>
        </w:rPr>
      </w:pPr>
      <w:r>
        <w:rPr>
          <w:rFonts w:hint="eastAsia"/>
          <w:sz w:val="15"/>
          <w:szCs w:val="16"/>
        </w:rPr>
        <w:t>探测器选点应选择阀门、管道接口、出气口或易泄漏附近方圆</w:t>
      </w:r>
      <w:r>
        <w:rPr>
          <w:sz w:val="15"/>
          <w:szCs w:val="16"/>
        </w:rPr>
        <w:t>1</w:t>
      </w:r>
      <w:r>
        <w:rPr>
          <w:rFonts w:hint="eastAsia"/>
          <w:sz w:val="15"/>
          <w:szCs w:val="16"/>
        </w:rPr>
        <w:t>m的范围内，尽可能靠近，但不影响其他设备操作。</w:t>
      </w:r>
    </w:p>
    <w:p>
      <w:pPr>
        <w:pStyle w:val="13"/>
        <w:numPr>
          <w:ilvl w:val="0"/>
          <w:numId w:val="4"/>
        </w:numPr>
        <w:ind w:firstLineChars="0"/>
        <w:rPr>
          <w:sz w:val="15"/>
          <w:szCs w:val="16"/>
        </w:rPr>
      </w:pPr>
      <w:r>
        <w:rPr>
          <w:rFonts w:hint="eastAsia"/>
          <w:sz w:val="15"/>
          <w:szCs w:val="16"/>
        </w:rPr>
        <w:t>探测器应安装在气体容易泄漏、易流经的场所，及容易滞留的场所，安装位置应根据被测气体的密度、安装现场气流方向、温度等各种条件来确定。</w:t>
      </w:r>
    </w:p>
    <w:p>
      <w:pPr>
        <w:pStyle w:val="13"/>
        <w:numPr>
          <w:ilvl w:val="0"/>
          <w:numId w:val="4"/>
        </w:numPr>
        <w:ind w:firstLineChars="0"/>
        <w:rPr>
          <w:sz w:val="15"/>
          <w:szCs w:val="16"/>
        </w:rPr>
      </w:pPr>
      <w:r>
        <w:rPr>
          <w:rFonts w:hint="eastAsia"/>
          <w:sz w:val="15"/>
          <w:szCs w:val="16"/>
        </w:rPr>
        <w:t>检测甲烷、氢气等比空气轻的可燃或有毒气体时，其安装高度宜高出释放源</w:t>
      </w:r>
      <w:r>
        <w:rPr>
          <w:sz w:val="15"/>
          <w:szCs w:val="16"/>
        </w:rPr>
        <w:t>0.5~2m</w:t>
      </w:r>
      <w:r>
        <w:rPr>
          <w:rFonts w:hint="eastAsia"/>
          <w:sz w:val="15"/>
          <w:szCs w:val="16"/>
        </w:rPr>
        <w:t>，且释放源的水平距离宜小于</w:t>
      </w:r>
      <w:r>
        <w:rPr>
          <w:sz w:val="15"/>
          <w:szCs w:val="16"/>
        </w:rPr>
        <w:t>5m</w:t>
      </w:r>
      <w:r>
        <w:rPr>
          <w:rFonts w:hint="eastAsia"/>
          <w:sz w:val="15"/>
          <w:szCs w:val="16"/>
        </w:rPr>
        <w:t>。</w:t>
      </w:r>
    </w:p>
    <w:p>
      <w:pPr>
        <w:pStyle w:val="13"/>
        <w:numPr>
          <w:ilvl w:val="0"/>
          <w:numId w:val="4"/>
        </w:numPr>
        <w:ind w:firstLineChars="0"/>
        <w:rPr>
          <w:sz w:val="15"/>
          <w:szCs w:val="16"/>
        </w:rPr>
      </w:pPr>
      <w:r>
        <w:rPr>
          <w:rFonts w:hint="eastAsia"/>
          <w:sz w:val="15"/>
          <w:szCs w:val="16"/>
        </w:rPr>
        <w:t>检测比空气重的可燃气体或有毒气体时，推荐探测器安装高度应高出地坪</w:t>
      </w:r>
      <w:r>
        <w:rPr>
          <w:sz w:val="15"/>
          <w:szCs w:val="16"/>
        </w:rPr>
        <w:t>(</w:t>
      </w:r>
      <w:r>
        <w:rPr>
          <w:rFonts w:hint="eastAsia"/>
          <w:sz w:val="15"/>
          <w:szCs w:val="16"/>
        </w:rPr>
        <w:t>或楼板面</w:t>
      </w:r>
      <w:r>
        <w:rPr>
          <w:sz w:val="15"/>
          <w:szCs w:val="16"/>
        </w:rPr>
        <w:t>)0.3</w:t>
      </w:r>
      <w:r>
        <w:rPr>
          <w:rFonts w:hint="eastAsia"/>
          <w:sz w:val="15"/>
          <w:szCs w:val="16"/>
        </w:rPr>
        <w:t>～</w:t>
      </w:r>
      <w:r>
        <w:rPr>
          <w:sz w:val="15"/>
          <w:szCs w:val="16"/>
        </w:rPr>
        <w:t>0.6m</w:t>
      </w:r>
      <w:r>
        <w:rPr>
          <w:rFonts w:hint="eastAsia"/>
          <w:sz w:val="15"/>
          <w:szCs w:val="16"/>
        </w:rPr>
        <w:t>，且与释放源的水平距离宜小于</w:t>
      </w:r>
      <w:r>
        <w:rPr>
          <w:sz w:val="15"/>
          <w:szCs w:val="16"/>
        </w:rPr>
        <w:t>5m</w:t>
      </w:r>
      <w:r>
        <w:rPr>
          <w:rFonts w:hint="eastAsia"/>
          <w:sz w:val="15"/>
          <w:szCs w:val="16"/>
        </w:rPr>
        <w:t>。安装过低易造成探测器进水；过高则超出了气体易于积聚的高度。</w:t>
      </w:r>
    </w:p>
    <w:p>
      <w:pPr>
        <w:pStyle w:val="13"/>
        <w:numPr>
          <w:ilvl w:val="0"/>
          <w:numId w:val="4"/>
        </w:numPr>
        <w:ind w:firstLineChars="0"/>
        <w:rPr>
          <w:sz w:val="15"/>
          <w:szCs w:val="16"/>
        </w:rPr>
      </w:pPr>
      <w:r>
        <w:rPr>
          <w:rFonts w:hint="eastAsia"/>
          <w:sz w:val="15"/>
          <w:szCs w:val="16"/>
        </w:rPr>
        <w:t>检测与空气分子量接近且极易与空气混合的有毒气体</w:t>
      </w:r>
      <w:r>
        <w:rPr>
          <w:sz w:val="15"/>
          <w:szCs w:val="16"/>
        </w:rPr>
        <w:t>(</w:t>
      </w:r>
      <w:r>
        <w:rPr>
          <w:rFonts w:hint="eastAsia"/>
          <w:sz w:val="15"/>
          <w:szCs w:val="16"/>
        </w:rPr>
        <w:t>如一氧化碳</w:t>
      </w:r>
      <w:r>
        <w:rPr>
          <w:sz w:val="15"/>
          <w:szCs w:val="16"/>
        </w:rPr>
        <w:t>)</w:t>
      </w:r>
      <w:r>
        <w:rPr>
          <w:rFonts w:hint="eastAsia"/>
          <w:sz w:val="15"/>
          <w:szCs w:val="16"/>
        </w:rPr>
        <w:t>时，探测器应安装于距释放源上下</w:t>
      </w:r>
      <w:r>
        <w:rPr>
          <w:sz w:val="15"/>
          <w:szCs w:val="16"/>
        </w:rPr>
        <w:t>1m</w:t>
      </w:r>
      <w:r>
        <w:rPr>
          <w:rFonts w:hint="eastAsia"/>
          <w:sz w:val="15"/>
          <w:szCs w:val="16"/>
        </w:rPr>
        <w:t>的高度范围内；有毒气体比空气稍轻时，探测器安装于释放源上方，有毒气体比空气稍重时，探测器安装于释放源下方；探测器距释放源的水平距离不超过</w:t>
      </w:r>
      <w:r>
        <w:rPr>
          <w:sz w:val="15"/>
          <w:szCs w:val="16"/>
        </w:rPr>
        <w:t>1m</w:t>
      </w:r>
      <w:r>
        <w:rPr>
          <w:rFonts w:hint="eastAsia"/>
          <w:sz w:val="15"/>
          <w:szCs w:val="16"/>
        </w:rPr>
        <w:t>为宜。</w:t>
      </w:r>
    </w:p>
    <w:p>
      <w:pPr>
        <w:pStyle w:val="13"/>
        <w:ind w:left="420" w:firstLine="0" w:firstLineChars="0"/>
        <w:rPr>
          <w:sz w:val="15"/>
          <w:szCs w:val="16"/>
        </w:rPr>
      </w:pPr>
    </w:p>
    <w:p>
      <w:pPr>
        <w:pStyle w:val="2"/>
      </w:pPr>
      <w:bookmarkStart w:id="12" w:name="_Toc426986420"/>
      <w:r>
        <w:rPr>
          <w:rFonts w:hint="eastAsia"/>
        </w:rPr>
        <w:t>故障排除：</w:t>
      </w:r>
      <w:bookmarkEnd w:id="12"/>
    </w:p>
    <w:p>
      <w:pPr>
        <w:rPr>
          <w:rFonts w:asci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打开探测器上盖后首先确认供电电压是否正常，然后参考下列现象相应处理：</w:t>
      </w:r>
    </w:p>
    <w:tbl>
      <w:tblPr>
        <w:tblStyle w:val="10"/>
        <w:tblW w:w="7367" w:type="dxa"/>
        <w:jc w:val="center"/>
        <w:tblInd w:w="0" w:type="dxa"/>
        <w:tblBorders>
          <w:top w:val="single" w:color="948A54" w:themeColor="background2" w:themeShade="80" w:sz="4" w:space="0"/>
          <w:left w:val="single" w:color="948A54" w:themeColor="background2" w:themeShade="80" w:sz="4" w:space="0"/>
          <w:bottom w:val="single" w:color="948A54" w:themeColor="background2" w:themeShade="80" w:sz="4" w:space="0"/>
          <w:right w:val="single" w:color="948A54" w:themeColor="background2" w:themeShade="80" w:sz="4" w:space="0"/>
          <w:insideH w:val="single" w:color="948A54" w:themeColor="background2" w:themeShade="80" w:sz="4" w:space="0"/>
          <w:insideV w:val="single" w:color="948A54" w:themeColor="background2" w:themeShade="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453"/>
        <w:gridCol w:w="4075"/>
        <w:gridCol w:w="862"/>
      </w:tblGrid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977" w:type="dxa"/>
          </w:tcPr>
          <w:p>
            <w:pPr>
              <w:jc w:val="center"/>
              <w:rPr>
                <w:rFonts w:asci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故障现象</w:t>
            </w:r>
          </w:p>
        </w:tc>
        <w:tc>
          <w:tcPr>
            <w:tcW w:w="1453" w:type="dxa"/>
          </w:tcPr>
          <w:p>
            <w:pPr>
              <w:jc w:val="center"/>
              <w:rPr>
                <w:rFonts w:asci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原因分析</w:t>
            </w:r>
          </w:p>
        </w:tc>
        <w:tc>
          <w:tcPr>
            <w:tcW w:w="4075" w:type="dxa"/>
          </w:tcPr>
          <w:p>
            <w:pPr>
              <w:jc w:val="center"/>
              <w:rPr>
                <w:rFonts w:asci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排除方法</w:t>
            </w:r>
          </w:p>
        </w:tc>
        <w:tc>
          <w:tcPr>
            <w:tcW w:w="862" w:type="dxa"/>
          </w:tcPr>
          <w:p>
            <w:pPr>
              <w:jc w:val="center"/>
              <w:rPr>
                <w:rFonts w:asci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“</w:t>
            </w:r>
            <w:r>
              <w:rPr>
                <w:rFonts w:ascii="宋体" w:hAnsi="宋体"/>
                <w:sz w:val="15"/>
                <w:szCs w:val="15"/>
              </w:rPr>
              <w:t>E1</w:t>
            </w:r>
            <w:r>
              <w:rPr>
                <w:rFonts w:hint="eastAsia" w:ascii="宋体" w:hAnsi="宋体"/>
                <w:sz w:val="15"/>
                <w:szCs w:val="15"/>
              </w:rPr>
              <w:t>”</w:t>
            </w:r>
          </w:p>
        </w:tc>
        <w:tc>
          <w:tcPr>
            <w:tcW w:w="1453" w:type="dxa"/>
            <w:vAlign w:val="center"/>
          </w:tcPr>
          <w:p>
            <w:pPr>
              <w:jc w:val="left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传感器故障</w:t>
            </w:r>
          </w:p>
        </w:tc>
        <w:tc>
          <w:tcPr>
            <w:tcW w:w="4075" w:type="dxa"/>
            <w:vAlign w:val="center"/>
          </w:tcPr>
          <w:p>
            <w:pPr>
              <w:jc w:val="lef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</w:t>
            </w:r>
            <w:r>
              <w:rPr>
                <w:rFonts w:hint="eastAsia" w:ascii="宋体" w:hAnsi="宋体"/>
                <w:sz w:val="15"/>
                <w:szCs w:val="15"/>
              </w:rPr>
              <w:t>．传感器接插件重新连接</w:t>
            </w:r>
          </w:p>
          <w:p>
            <w:pPr>
              <w:jc w:val="left"/>
              <w:rPr>
                <w:rFonts w:ascii="宋体"/>
                <w:b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2</w:t>
            </w:r>
            <w:r>
              <w:rPr>
                <w:rFonts w:hint="eastAsia" w:ascii="宋体" w:hAnsi="宋体"/>
                <w:sz w:val="15"/>
                <w:szCs w:val="15"/>
              </w:rPr>
              <w:t>．更换传感器</w:t>
            </w:r>
          </w:p>
        </w:tc>
        <w:tc>
          <w:tcPr>
            <w:tcW w:w="862" w:type="dxa"/>
          </w:tcPr>
          <w:p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948A54" w:themeColor="background2" w:themeShade="80" w:sz="4" w:space="0"/>
            <w:left w:val="single" w:color="948A54" w:themeColor="background2" w:themeShade="80" w:sz="4" w:space="0"/>
            <w:bottom w:val="single" w:color="948A54" w:themeColor="background2" w:themeShade="80" w:sz="4" w:space="0"/>
            <w:right w:val="single" w:color="948A54" w:themeColor="background2" w:themeShade="80" w:sz="4" w:space="0"/>
            <w:insideH w:val="single" w:color="948A54" w:themeColor="background2" w:themeShade="80" w:sz="4" w:space="0"/>
            <w:insideV w:val="single" w:color="948A54" w:themeColor="background2" w:themeShade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“</w:t>
            </w:r>
            <w:r>
              <w:rPr>
                <w:rFonts w:ascii="宋体" w:hAnsi="宋体"/>
                <w:sz w:val="15"/>
                <w:szCs w:val="15"/>
              </w:rPr>
              <w:t>E3</w:t>
            </w:r>
            <w:r>
              <w:rPr>
                <w:rFonts w:hint="eastAsia" w:ascii="宋体" w:hAnsi="宋体"/>
                <w:sz w:val="15"/>
                <w:szCs w:val="15"/>
              </w:rPr>
              <w:t>”</w:t>
            </w:r>
          </w:p>
        </w:tc>
        <w:tc>
          <w:tcPr>
            <w:tcW w:w="1453" w:type="dxa"/>
            <w:vAlign w:val="center"/>
          </w:tcPr>
          <w:p>
            <w:pPr>
              <w:jc w:val="left"/>
              <w:rPr>
                <w:rFonts w:asci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存储芯片故障</w:t>
            </w:r>
          </w:p>
        </w:tc>
        <w:tc>
          <w:tcPr>
            <w:tcW w:w="4075" w:type="dxa"/>
            <w:vAlign w:val="center"/>
          </w:tcPr>
          <w:p>
            <w:pPr>
              <w:jc w:val="left"/>
              <w:rPr>
                <w:rFonts w:asci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探测器存储芯片故障，</w:t>
            </w:r>
            <w:r>
              <w:rPr>
                <w:rFonts w:hint="eastAsia" w:ascii="宋体" w:hAnsi="宋体"/>
                <w:sz w:val="15"/>
                <w:szCs w:val="15"/>
              </w:rPr>
              <w:t>返厂维修</w:t>
            </w:r>
          </w:p>
        </w:tc>
        <w:tc>
          <w:tcPr>
            <w:tcW w:w="862" w:type="dxa"/>
          </w:tcPr>
          <w:p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</w:tr>
    </w:tbl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pStyle w:val="2"/>
      </w:pPr>
      <w:bookmarkStart w:id="13" w:name="_Toc426986421"/>
      <w:r>
        <w:rPr>
          <w:rFonts w:hint="eastAsia"/>
        </w:rPr>
        <w:t>服务承诺：</w:t>
      </w:r>
      <w:bookmarkEnd w:id="13"/>
    </w:p>
    <w:p>
      <w:pPr>
        <w:pStyle w:val="13"/>
        <w:numPr>
          <w:ilvl w:val="0"/>
          <w:numId w:val="4"/>
        </w:numPr>
        <w:spacing w:line="276" w:lineRule="auto"/>
        <w:ind w:firstLineChars="0"/>
        <w:rPr>
          <w:sz w:val="15"/>
          <w:szCs w:val="16"/>
        </w:rPr>
      </w:pPr>
      <w:r>
        <w:rPr>
          <w:rFonts w:hint="eastAsia"/>
          <w:sz w:val="15"/>
          <w:szCs w:val="16"/>
        </w:rPr>
        <w:t>我公司生产的产品，质保期为自出厂之日起一年（人为因素和不可抗拒力除外）。</w:t>
      </w:r>
    </w:p>
    <w:p>
      <w:pPr>
        <w:pStyle w:val="13"/>
        <w:numPr>
          <w:ilvl w:val="0"/>
          <w:numId w:val="4"/>
        </w:numPr>
        <w:spacing w:line="276" w:lineRule="auto"/>
        <w:ind w:firstLineChars="0"/>
        <w:rPr>
          <w:sz w:val="15"/>
          <w:szCs w:val="16"/>
        </w:rPr>
      </w:pPr>
      <w:r>
        <w:rPr>
          <w:rFonts w:hint="eastAsia"/>
          <w:sz w:val="15"/>
          <w:szCs w:val="16"/>
        </w:rPr>
        <w:t>保修期内的产品可应客户要求，返厂免费为客户进行一次气体标定和维护,我公司不承担产品往返运费。</w:t>
      </w:r>
    </w:p>
    <w:p>
      <w:pPr>
        <w:pStyle w:val="13"/>
        <w:numPr>
          <w:ilvl w:val="0"/>
          <w:numId w:val="4"/>
        </w:numPr>
        <w:spacing w:line="276" w:lineRule="auto"/>
        <w:ind w:firstLineChars="0"/>
        <w:rPr>
          <w:sz w:val="15"/>
          <w:szCs w:val="16"/>
        </w:rPr>
      </w:pPr>
      <w:r>
        <w:rPr>
          <w:rFonts w:hint="eastAsia"/>
          <w:sz w:val="15"/>
          <w:szCs w:val="16"/>
        </w:rPr>
        <w:t>超出质保期的产品，公司只收取维修成本费。</w:t>
      </w:r>
    </w:p>
    <w:p>
      <w:pPr>
        <w:pStyle w:val="13"/>
        <w:numPr>
          <w:ilvl w:val="0"/>
          <w:numId w:val="4"/>
        </w:numPr>
        <w:spacing w:line="276" w:lineRule="auto"/>
        <w:ind w:firstLineChars="0"/>
        <w:rPr>
          <w:sz w:val="15"/>
          <w:szCs w:val="16"/>
        </w:rPr>
      </w:pPr>
      <w:r>
        <w:rPr>
          <w:rFonts w:hint="eastAsia"/>
          <w:sz w:val="15"/>
          <w:szCs w:val="16"/>
        </w:rPr>
        <w:t>公司为客户提供7×24小时的专业服务，公司在接到客户通知后4小时内作出反应，24小时内做出具体解决方案。</w:t>
      </w:r>
    </w:p>
    <w:p>
      <w:pPr>
        <w:pStyle w:val="13"/>
        <w:numPr>
          <w:ilvl w:val="0"/>
          <w:numId w:val="4"/>
        </w:numPr>
        <w:spacing w:line="276" w:lineRule="auto"/>
        <w:ind w:firstLineChars="0"/>
        <w:rPr>
          <w:sz w:val="15"/>
          <w:szCs w:val="16"/>
        </w:rPr>
      </w:pPr>
      <w:r>
        <w:rPr>
          <w:rFonts w:hint="eastAsia"/>
          <w:sz w:val="15"/>
          <w:szCs w:val="16"/>
        </w:rPr>
        <w:t>一般情况下传感器的正常使用寿命为：</w:t>
      </w:r>
      <w:r>
        <w:rPr>
          <w:sz w:val="15"/>
          <w:szCs w:val="16"/>
        </w:rPr>
        <w:t>催化</w:t>
      </w:r>
      <w:r>
        <w:rPr>
          <w:rFonts w:hint="eastAsia"/>
          <w:sz w:val="15"/>
          <w:szCs w:val="16"/>
        </w:rPr>
        <w:t>燃烧</w:t>
      </w:r>
      <w:r>
        <w:rPr>
          <w:sz w:val="15"/>
          <w:szCs w:val="16"/>
        </w:rPr>
        <w:t>式</w:t>
      </w:r>
      <w:r>
        <w:rPr>
          <w:rFonts w:hint="eastAsia"/>
          <w:sz w:val="15"/>
          <w:szCs w:val="16"/>
        </w:rPr>
        <w:t>传感器</w:t>
      </w:r>
      <w:r>
        <w:rPr>
          <w:sz w:val="15"/>
          <w:szCs w:val="16"/>
        </w:rPr>
        <w:t>为2年，电化学式</w:t>
      </w:r>
      <w:r>
        <w:rPr>
          <w:rFonts w:hint="eastAsia"/>
          <w:sz w:val="15"/>
          <w:szCs w:val="16"/>
        </w:rPr>
        <w:t>传感器</w:t>
      </w:r>
      <w:r>
        <w:rPr>
          <w:sz w:val="15"/>
          <w:szCs w:val="16"/>
        </w:rPr>
        <w:t>为1年</w:t>
      </w:r>
      <w:r>
        <w:rPr>
          <w:rFonts w:hint="eastAsia"/>
          <w:sz w:val="15"/>
          <w:szCs w:val="16"/>
        </w:rPr>
        <w:t>。传感器的实际使用寿命与工作环境有直接的关系,使用环境不同,传感器的寿命会发生变化。</w:t>
      </w:r>
    </w:p>
    <w:p>
      <w:pPr>
        <w:pStyle w:val="13"/>
        <w:numPr>
          <w:ilvl w:val="0"/>
          <w:numId w:val="4"/>
        </w:numPr>
        <w:spacing w:line="276" w:lineRule="auto"/>
        <w:ind w:firstLineChars="0"/>
        <w:rPr>
          <w:sz w:val="15"/>
          <w:szCs w:val="16"/>
        </w:rPr>
      </w:pPr>
      <w:r>
        <w:rPr>
          <w:sz w:val="15"/>
          <w:szCs w:val="16"/>
        </w:rPr>
        <w:t>为确保产品性能的可靠性，我们建议</w:t>
      </w:r>
      <w:r>
        <w:rPr>
          <w:rFonts w:hint="eastAsia"/>
          <w:sz w:val="15"/>
          <w:szCs w:val="16"/>
        </w:rPr>
        <w:t>用</w:t>
      </w:r>
      <w:r>
        <w:rPr>
          <w:sz w:val="15"/>
          <w:szCs w:val="16"/>
        </w:rPr>
        <w:t>户，在使用</w:t>
      </w:r>
      <w:r>
        <w:rPr>
          <w:rFonts w:hint="eastAsia"/>
          <w:sz w:val="15"/>
          <w:szCs w:val="16"/>
        </w:rPr>
        <w:t>期限内，定期对产品进行维护和校准。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ind w:left="180"/>
        <w:jc w:val="left"/>
      </w:pPr>
      <w:r>
        <w:rPr>
          <w:rFonts w:asciiTheme="minorEastAsia" w:hAnsiTheme="minorEastAsia"/>
          <w:b/>
        </w:rPr>
        <w:pict>
          <v:rect id="_x0000_s1030" o:spid="_x0000_s1030" o:spt="1" style="position:absolute;left:0pt;margin-left:-29.8pt;margin-top:-25.7pt;height:153.15pt;width:436.9pt;mso-position-horizontal-relative:margin;mso-position-vertical-relative:margin;z-index:-251625472;v-text-anchor:bottom;mso-width-relative:margin;mso-height-relative:margin;" fillcolor="#595959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">
            <v:path/>
            <v:fill on="t" focussize="0,0"/>
            <v:stroke on="f"/>
            <v:imagedata o:title=""/>
            <o:lock v:ext="edit"/>
            <v:textbox inset="6.35mm,1.27mm,38.1mm,2.54mm">
              <w:txbxContent>
                <w:p>
                  <w:pPr>
                    <w:pStyle w:val="15"/>
                    <w:rPr>
                      <w:rFonts w:asciiTheme="majorHAnsi" w:hAnsiTheme="majorHAnsi" w:eastAsiaTheme="majorEastAsia" w:cstheme="majorBidi"/>
                      <w:color w:val="FFFFFF" w:themeColor="background1"/>
                      <w:sz w:val="48"/>
                      <w:szCs w:val="84"/>
                    </w:rPr>
                  </w:pPr>
                </w:p>
              </w:txbxContent>
            </v:textbox>
          </v:rect>
        </w:pict>
      </w:r>
    </w:p>
    <w:p>
      <w:pPr>
        <w:pStyle w:val="13"/>
        <w:ind w:left="562" w:firstLine="0" w:firstLineChars="0"/>
        <w:rPr>
          <w:rFonts w:asciiTheme="minorEastAsia" w:hAnsiTheme="minorEastAsia"/>
          <w:b/>
          <w:color w:val="FFFFFF" w:themeColor="background1"/>
          <w:sz w:val="15"/>
          <w:szCs w:val="13"/>
        </w:rPr>
      </w:pPr>
    </w:p>
    <w:p>
      <w:pPr>
        <w:pStyle w:val="13"/>
        <w:ind w:left="562" w:firstLine="0" w:firstLineChars="0"/>
        <w:rPr>
          <w:rFonts w:asciiTheme="minorEastAsia" w:hAnsiTheme="minorEastAsia"/>
          <w:b/>
          <w:color w:val="FFFFFF" w:themeColor="background1"/>
          <w:sz w:val="15"/>
          <w:szCs w:val="13"/>
        </w:rPr>
      </w:pPr>
    </w:p>
    <w:p>
      <w:pPr>
        <w:pStyle w:val="13"/>
        <w:ind w:left="562" w:firstLine="0" w:firstLineChars="0"/>
        <w:rPr>
          <w:rFonts w:asciiTheme="minorEastAsia" w:hAnsiTheme="minorEastAsia"/>
          <w:b/>
          <w:color w:val="FFFFFF" w:themeColor="background1"/>
          <w:sz w:val="15"/>
          <w:szCs w:val="13"/>
        </w:rPr>
      </w:pPr>
    </w:p>
    <w:p>
      <w:pPr>
        <w:pStyle w:val="13"/>
        <w:ind w:left="562" w:firstLine="0" w:firstLineChars="0"/>
        <w:rPr>
          <w:rFonts w:asciiTheme="minorEastAsia" w:hAnsiTheme="minorEastAsia"/>
          <w:b/>
          <w:color w:val="FFFFFF" w:themeColor="background1"/>
          <w:sz w:val="15"/>
          <w:szCs w:val="13"/>
        </w:rPr>
      </w:pPr>
    </w:p>
    <w:p>
      <w:pPr>
        <w:pStyle w:val="13"/>
        <w:ind w:left="562" w:firstLine="0" w:firstLineChars="0"/>
        <w:rPr>
          <w:rFonts w:asciiTheme="minorEastAsia" w:hAnsiTheme="minorEastAsia"/>
          <w:b/>
          <w:color w:val="FFFFFF" w:themeColor="background1"/>
          <w:sz w:val="15"/>
          <w:szCs w:val="13"/>
        </w:rPr>
      </w:pPr>
    </w:p>
    <w:p>
      <w:pPr>
        <w:ind w:left="180"/>
        <w:jc w:val="left"/>
      </w:pPr>
      <w:r>
        <w:pict>
          <v:shape id="_x0000_s1056" o:spid="_x0000_s1056" o:spt="202" type="#_x0000_t202" style="position:absolute;left:0pt;margin-left:195.1pt;margin-top:45pt;height:54.7pt;width:60.55pt;z-index:251701248;mso-width-relative:page;mso-height-relative:page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616585" cy="537845"/>
                        <wp:effectExtent l="0" t="0" r="0" b="0"/>
                        <wp:docPr id="23" name="图片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图片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2729" cy="543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192.5pt;margin-top:43pt;height:57.7pt;width:66.25pt;z-index:251700224;mso-width-relative:page;mso-height-relative:page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group id="组合 19" o:spid="_x0000_s1032" o:spt="203" style="position:absolute;left:0pt;margin-left:0.4pt;margin-top:43pt;height:70.25pt;width:192.1pt;z-index:251696128;mso-width-relative:page;mso-height-relative:page;" coordsize="24213,8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">
            <o:lock v:ext="edit"/>
            <v:group id="组合 413" o:spid="_x0000_s1033" o:spt="203" style="position:absolute;left:0;top:0;height:8924;width:24213;" coordorigin="0,238" coordsize="22546,8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<o:lock v:ext="edit"/>
              <v:rect id="Rectangle 3" o:spid="_x0000_s1034" o:spt="1" style="position:absolute;left:0;top:272;height:8115;width:15652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dDcUA&#10;AADcAAAADwAAAGRycy9kb3ducmV2LnhtbESPQWvCQBSE74X+h+UVeim6UURKzEaKUBqKIMbq+ZF9&#10;JqHZtzG7JvHfu4WCx2FmvmGS9Wga0VPnassKZtMIBHFhdc2lgp/D5+QdhPPIGhvLpOBGDtbp81OC&#10;sbYD76nPfSkChF2MCirv21hKV1Rk0E1tSxy8s+0M+iC7UuoOhwA3jZxH0VIarDksVNjSpqLiN78a&#10;BUOx60+H7ZfcvZ0yy5fsssmP30q9vowfKxCeRv8I/7czrWARzeDvTDgC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J0NxQAAANwAAAAPAAAAAAAAAAAAAAAAAJgCAABkcnMv&#10;ZG93bnJldi54bWxQSwUGAAAAAAQABAD1AAAAigMAAAAA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jc w:val="right"/>
                      </w:pPr>
                      <w:r>
                        <w:drawing>
                          <wp:inline distT="0" distB="0" distL="0" distR="0">
                            <wp:extent cx="563880" cy="592455"/>
                            <wp:effectExtent l="0" t="0" r="7620" b="17145"/>
                            <wp:docPr id="13" name="Picture 2" descr="G:\01000104.png01000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2" descr="G:\01000104.png010001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880" cy="594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drawing>
                          <wp:inline distT="0" distB="0" distL="0" distR="0">
                            <wp:extent cx="596265" cy="565785"/>
                            <wp:effectExtent l="0" t="0" r="0" b="5715"/>
                            <wp:docPr id="15" name="图片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图片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15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6880" cy="566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group id="组合 412" o:spid="_x0000_s1035" o:spt="203" style="position:absolute;left:715;top:238;height:6693;width:21831;" coordsize="21831,6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<o:lock v:ext="edit"/>
                <v:rect id="Rectangle 5" o:spid="_x0000_s1036" o:spt="1" style="position:absolute;left:271;top:135;height:6439;width:14148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iF8MA&#10;AADc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VvRQm/Z/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ziF8MAAADcAAAADwAAAAAAAAAAAAAAAACYAgAAZHJzL2Rv&#10;d25yZXYueG1sUEsFBgAAAAAEAAQA9QAAAIgDAAAAAA==&#10;">
                  <v:path/>
                  <v:fill on="f" focussize="0,0"/>
                  <v:stroke weight="0.5pt"/>
                  <v:imagedata o:title=""/>
                  <o:lock v:ext="edit"/>
                </v:rect>
                <v:shape id="AutoShape 6" o:spid="_x0000_s1037" o:spt="32" type="#_x0000_t32" style="position:absolute;left:7288;top:135;height:6439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kLqsUAAADcAAAADwAAAGRycy9kb3ducmV2LnhtbESPQWsCMRSE74X+h/AKvdVsZSllNYpY&#10;LK0gperB42Pz3EQ3L0sS1+2/N4VCj8PMfMNM54NrRU8hWs8KnkcFCOLaa8uNgv1u9fQKIiZkja1n&#10;UvBDEeaz+7spVtpf+Zv6bWpEhnCsUIFJqaukjLUhh3HkO+LsHX1wmLIMjdQBrxnuWjkuihfp0HJe&#10;MNjR0lB93l6cgrfT2i4+v9blwV5O4X1zHnqDRqnHh2ExAZFoSP/hv/aHVlAWJfyey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kLqsUAAADcAAAADwAAAAAAAAAA&#10;AAAAAAChAgAAZHJzL2Rvd25yZXYueG1sUEsFBgAAAAAEAAQA+QAAAJMDAAAAAA==&#10;">
                  <v:path arrowok="t"/>
                  <v:fill on="f" focussize="0,0"/>
                  <v:stroke weight="0.5pt"/>
                  <v:imagedata o:title=""/>
                  <o:lock v:ext="edit"/>
                </v:shape>
                <v:shape id="AutoShape 7" o:spid="_x0000_s1038" o:spt="32" type="#_x0000_t32" style="position:absolute;left:7469;top:135;height:6439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uMcUAAADcAAAADwAAAGRycy9kb3ducmV2LnhtbESPQWsCMRSE74X+h/AKvWm2YktZjSIt&#10;FhWK1Pbg8bF53UQ3L0sS1+2/N4LQ4zAz3zDTee8a0VGI1rOCp2EBgrjy2nKt4Od7OXgFEROyxsYz&#10;KfijCPPZ/d0US+3P/EXdLtUiQziWqMCk1JZSxsqQwzj0LXH2fn1wmLIMtdQBzxnuGjkqihfp0HJe&#10;MNjSm6HquDs5Be+HjV2st5vx3p4O4ePz2HcGjVKPD/1iAiJRn/7Dt/ZKKxgXz3A9k4+A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WuMcUAAADcAAAADwAAAAAAAAAA&#10;AAAAAAChAgAAZHJzL2Rvd25yZXYueG1sUEsFBgAAAAAEAAQA+QAAAJMDAAAAAA==&#10;">
                  <v:path arrowok="t"/>
                  <v:fill on="f" focussize="0,0"/>
                  <v:stroke weight="0.5pt"/>
                  <v:imagedata o:title=""/>
                  <o:lock v:ext="edit"/>
                </v:shape>
                <v:rect id="Rectangle 8" o:spid="_x0000_s1039" o:spt="1" style="position:absolute;left:0;top:0;height:6692;width:21831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tBj8MA&#10;AADcAAAADwAAAGRycy9kb3ducmV2LnhtbESPwWrDMBBE74X+g9hCLqWWG4c0uFZCKBR6KjjJByzW&#10;xjKVVsZSYvXvo0Ihx2Fm3jDNLjkrrjSFwbOC16IEQdx5PXCv4HT8fNmACBFZo/VMCn4pwG77+NBg&#10;rf3MLV0PsRcZwqFGBSbGsZYydIYchsKPxNk7+8lhzHLqpZ5wznBn5bIs19LhwHnB4Egfhrqfw8Up&#10;eA42OdP21bJ9S6f9ZbZV9W2VWjyl/TuISCnew//tL61gVa7h70w+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tBj8MAAADcAAAADwAAAAAAAAAAAAAAAACYAgAAZHJzL2Rv&#10;d25yZXYueG1sUEsFBgAAAAAEAAQA9QAAAIgDAAAAAA==&#10;">
                  <v:path/>
                  <v:fill on="f" focussize="0,0"/>
                  <v:stroke weight="0.5pt"/>
                  <v:imagedata o:title=""/>
                  <o:lock v:ext="edit"/>
                </v:rect>
                <v:rect id="Rectangle 5" o:spid="_x0000_s1040" o:spt="1" style="position:absolute;left:14621;top:135;height:6439;width:6959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d88EA&#10;AADcAAAADwAAAGRycy9kb3ducmV2LnhtbERPS2rDMBDdF3oHMYVuSiPHhqY4lkMoBLoqOM0BBmti&#10;mUojYymxevuqEMhuHu87zS45K640h9GzgvWqAEHcez3yoOD0fXh9BxEiskbrmRT8UoBd+/jQYK39&#10;wh1dj3EQOYRDjQpMjFMtZegNOQwrPxFn7uxnhzHDeZB6xiWHOyvLoniTDkfODQYn+jDU/xwvTsFL&#10;sMmZbqjKbpNO+8tiq+rLKvX8lPZbEJFSvItv7k+d55cV/D+TL5D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3HfPBAAAA3AAAAA8AAAAAAAAAAAAAAAAAmAIAAGRycy9kb3du&#10;cmV2LnhtbFBLBQYAAAAABAAEAPUAAACGAwAAAAA=&#10;">
                  <v:path/>
                  <v:fill on="f" focussize="0,0"/>
                  <v:stroke weight="0.5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drawing>
                            <wp:inline distT="0" distB="0" distL="0" distR="0">
                              <wp:extent cx="515620" cy="377825"/>
                              <wp:effectExtent l="0" t="0" r="0" b="3175"/>
                              <wp:docPr id="16" name="图片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图片 1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95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365" cy="37987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3F3F3F" w:themeColor="text1" w:themeTint="BF"/>
                            <w:sz w:val="15"/>
                            <w:szCs w:val="13"/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3F3F3F" w:themeColor="text1" w:themeTint="BF"/>
                            <w:sz w:val="15"/>
                            <w:szCs w:val="13"/>
                          </w:rPr>
                          <w:t>防爆认证</w:t>
                        </w:r>
                      </w:p>
                    </w:txbxContent>
                  </v:textbox>
                </v:rect>
              </v:group>
            </v:group>
            <v:shape id="文本框 18" o:spid="_x0000_s1041" o:spt="202" type="#_x0000_t202" style="position:absolute;left:1629;top:4209;height:2581;width:6383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 w:ascii="华文细黑" w:hAnsi="华文细黑" w:eastAsia="华文细黑"/>
                        <w:b/>
                        <w:color w:val="3F3F3F" w:themeColor="text1" w:themeTint="BF"/>
                        <w:sz w:val="15"/>
                        <w:szCs w:val="13"/>
                      </w:rPr>
                      <w:t>计量许可</w:t>
                    </w:r>
                  </w:p>
                </w:txbxContent>
              </v:textbox>
            </v:shape>
          </v:group>
        </w:pict>
      </w:r>
      <w:r>
        <w:pict>
          <v:rect id="_x0000_s1031" o:spid="_x0000_s1031" o:spt="1" style="position:absolute;left:0pt;margin-left:-29.8pt;margin-top:206.85pt;height:71.5pt;width:423.85pt;mso-position-horizontal-relative:margin;mso-position-vertical-relative:margin;z-index:-251623424;v-text-anchor:bottom;mso-width-relative:margin;mso-height-relative:margin;" fillcolor="#7C7C7C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">
            <v:path/>
            <v:fill type="gradientRadial" on="t" color2="#000000" focus="100%" focussize="0f,0f" focusposition="32768f,32768f" rotate="t">
              <o:fill type="gradientRadial" v:ext="backwardCompatible"/>
            </v:fill>
            <v:stroke on="f"/>
            <v:imagedata o:title=""/>
            <o:lock v:ext="edit"/>
            <v:textbox inset="11mm,2mm,19mm,2.54mm">
              <w:txbxContent>
                <w:p>
                  <w:pPr>
                    <w:pStyle w:val="15"/>
                    <w:spacing w:line="276" w:lineRule="auto"/>
                    <w:rPr>
                      <w:rFonts w:hint="eastAsia" w:asciiTheme="minorEastAsia" w:hAnsiTheme="minorEastAsia" w:cstheme="majorBidi"/>
                      <w:b/>
                      <w:color w:val="FFFFFF" w:themeColor="background1"/>
                      <w:sz w:val="15"/>
                      <w:szCs w:val="13"/>
                    </w:rPr>
                  </w:pPr>
                  <w:r>
                    <w:rPr>
                      <w:rFonts w:hint="eastAsia" w:asciiTheme="minorEastAsia" w:hAnsiTheme="minorEastAsia" w:cstheme="majorBidi"/>
                      <w:b/>
                      <w:color w:val="FFFFFF" w:themeColor="background1"/>
                      <w:sz w:val="15"/>
                      <w:szCs w:val="13"/>
                    </w:rPr>
                    <w:t>公司：济南</w:t>
                  </w:r>
                  <w:r>
                    <w:rPr>
                      <w:rFonts w:hint="eastAsia" w:asciiTheme="minorEastAsia" w:hAnsiTheme="minorEastAsia" w:cstheme="majorBidi"/>
                      <w:b/>
                      <w:color w:val="FFFFFF" w:themeColor="background1"/>
                      <w:sz w:val="15"/>
                      <w:szCs w:val="13"/>
                      <w:lang w:val="en-US" w:eastAsia="zh-CN"/>
                    </w:rPr>
                    <w:t>鼎诺科技</w:t>
                  </w:r>
                  <w:r>
                    <w:rPr>
                      <w:rFonts w:hint="eastAsia" w:asciiTheme="minorEastAsia" w:hAnsiTheme="minorEastAsia" w:cstheme="majorBidi"/>
                      <w:b/>
                      <w:color w:val="FFFFFF" w:themeColor="background1"/>
                      <w:sz w:val="15"/>
                      <w:szCs w:val="13"/>
                    </w:rPr>
                    <w:t xml:space="preserve">有限公司    地址：济南市华阳路65号留学人员创业园C区     </w:t>
                  </w:r>
                </w:p>
                <w:p>
                  <w:pPr>
                    <w:pStyle w:val="15"/>
                    <w:spacing w:line="276" w:lineRule="auto"/>
                    <w:rPr>
                      <w:rFonts w:asciiTheme="minorEastAsia" w:hAnsiTheme="minorEastAsia" w:cstheme="majorBidi"/>
                      <w:b/>
                      <w:color w:val="FFFFFF" w:themeColor="background1"/>
                      <w:sz w:val="11"/>
                      <w:szCs w:val="13"/>
                    </w:rPr>
                  </w:pPr>
                  <w:r>
                    <w:rPr>
                      <w:rFonts w:hint="eastAsia" w:asciiTheme="minorEastAsia" w:hAnsiTheme="minorEastAsia" w:cstheme="majorBidi"/>
                      <w:b/>
                      <w:color w:val="FFFFFF" w:themeColor="background1"/>
                      <w:sz w:val="15"/>
                      <w:szCs w:val="13"/>
                    </w:rPr>
                    <w:t>电话：0531-8237</w:t>
                  </w:r>
                  <w:r>
                    <w:rPr>
                      <w:rFonts w:hint="eastAsia" w:asciiTheme="minorEastAsia" w:hAnsiTheme="minorEastAsia" w:cstheme="majorBidi"/>
                      <w:b/>
                      <w:color w:val="FFFFFF" w:themeColor="background1"/>
                      <w:sz w:val="15"/>
                      <w:szCs w:val="13"/>
                      <w:lang w:val="en-US" w:eastAsia="zh-CN"/>
                    </w:rPr>
                    <w:t>3337</w:t>
                  </w:r>
                </w:p>
                <w:p>
                  <w:pPr>
                    <w:pStyle w:val="15"/>
                    <w:spacing w:line="200" w:lineRule="exact"/>
                    <w:rPr>
                      <w:rFonts w:asciiTheme="minorEastAsia" w:hAnsiTheme="minorEastAsia" w:cstheme="majorBidi"/>
                      <w:color w:val="FFFFFF" w:themeColor="background1"/>
                      <w:sz w:val="11"/>
                      <w:szCs w:val="13"/>
                    </w:rPr>
                  </w:pPr>
                </w:p>
              </w:txbxContent>
            </v:textbox>
          </v:rect>
        </w:pict>
      </w:r>
    </w:p>
    <w:sectPr>
      <w:footerReference r:id="rId3" w:type="default"/>
      <w:pgSz w:w="8420" w:h="5954" w:orient="landscape"/>
      <w:pgMar w:top="454" w:right="567" w:bottom="567" w:left="454" w:header="227" w:footer="113" w:gutter="0"/>
      <w:pgNumType w:start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4613110"/>
    </w:sdtPr>
    <w:sdtEndPr>
      <w:rPr>
        <w:rFonts w:asciiTheme="minorEastAsia" w:hAnsiTheme="minorEastAsia"/>
        <w:sz w:val="13"/>
      </w:rPr>
    </w:sdtEndPr>
    <w:sdtContent>
      <w:p>
        <w:pPr>
          <w:pStyle w:val="4"/>
          <w:jc w:val="center"/>
          <w:rPr>
            <w:rFonts w:asciiTheme="minorEastAsia" w:hAnsiTheme="minorEastAsia"/>
            <w:sz w:val="13"/>
          </w:rPr>
        </w:pPr>
        <w:r>
          <w:rPr>
            <w:rFonts w:asciiTheme="minorEastAsia" w:hAnsiTheme="minorEastAsia"/>
            <w:sz w:val="13"/>
          </w:rPr>
          <w:fldChar w:fldCharType="begin"/>
        </w:r>
        <w:r>
          <w:rPr>
            <w:rFonts w:asciiTheme="minorEastAsia" w:hAnsiTheme="minorEastAsia"/>
            <w:sz w:val="13"/>
          </w:rPr>
          <w:instrText xml:space="preserve">PAGE   \* MERGEFORMAT</w:instrText>
        </w:r>
        <w:r>
          <w:rPr>
            <w:rFonts w:asciiTheme="minorEastAsia" w:hAnsiTheme="minorEastAsia"/>
            <w:sz w:val="13"/>
          </w:rPr>
          <w:fldChar w:fldCharType="separate"/>
        </w:r>
        <w:r>
          <w:rPr>
            <w:rFonts w:asciiTheme="minorEastAsia" w:hAnsiTheme="minorEastAsia"/>
            <w:sz w:val="13"/>
            <w:lang w:val="zh-CN"/>
          </w:rPr>
          <w:t>6</w:t>
        </w:r>
        <w:r>
          <w:rPr>
            <w:rFonts w:asciiTheme="minorEastAsia" w:hAnsiTheme="minorEastAsia"/>
            <w:sz w:val="13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3E9E"/>
    <w:multiLevelType w:val="multilevel"/>
    <w:tmpl w:val="1FE83E9E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3A72DB9"/>
    <w:multiLevelType w:val="multilevel"/>
    <w:tmpl w:val="43A72DB9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5483699C"/>
    <w:multiLevelType w:val="multilevel"/>
    <w:tmpl w:val="5483699C"/>
    <w:lvl w:ilvl="0" w:tentative="0">
      <w:start w:val="1"/>
      <w:numFmt w:val="lowerLetter"/>
      <w:lvlText w:val="%1)"/>
      <w:lvlJc w:val="left"/>
      <w:pPr>
        <w:ind w:left="740" w:hanging="420"/>
      </w:pPr>
    </w:lvl>
    <w:lvl w:ilvl="1" w:tentative="0">
      <w:start w:val="1"/>
      <w:numFmt w:val="lowerLetter"/>
      <w:lvlText w:val="%2)"/>
      <w:lvlJc w:val="left"/>
      <w:pPr>
        <w:ind w:left="1160" w:hanging="420"/>
      </w:pPr>
    </w:lvl>
    <w:lvl w:ilvl="2" w:tentative="0">
      <w:start w:val="1"/>
      <w:numFmt w:val="lowerRoman"/>
      <w:lvlText w:val="%3."/>
      <w:lvlJc w:val="right"/>
      <w:pPr>
        <w:ind w:left="1580" w:hanging="420"/>
      </w:pPr>
    </w:lvl>
    <w:lvl w:ilvl="3" w:tentative="0">
      <w:start w:val="1"/>
      <w:numFmt w:val="decimal"/>
      <w:lvlText w:val="%4."/>
      <w:lvlJc w:val="left"/>
      <w:pPr>
        <w:ind w:left="2000" w:hanging="420"/>
      </w:pPr>
    </w:lvl>
    <w:lvl w:ilvl="4" w:tentative="0">
      <w:start w:val="1"/>
      <w:numFmt w:val="lowerLetter"/>
      <w:lvlText w:val="%5)"/>
      <w:lvlJc w:val="left"/>
      <w:pPr>
        <w:ind w:left="2420" w:hanging="420"/>
      </w:pPr>
    </w:lvl>
    <w:lvl w:ilvl="5" w:tentative="0">
      <w:start w:val="1"/>
      <w:numFmt w:val="lowerRoman"/>
      <w:lvlText w:val="%6."/>
      <w:lvlJc w:val="right"/>
      <w:pPr>
        <w:ind w:left="2840" w:hanging="420"/>
      </w:pPr>
    </w:lvl>
    <w:lvl w:ilvl="6" w:tentative="0">
      <w:start w:val="1"/>
      <w:numFmt w:val="decimal"/>
      <w:lvlText w:val="%7."/>
      <w:lvlJc w:val="left"/>
      <w:pPr>
        <w:ind w:left="3260" w:hanging="420"/>
      </w:pPr>
    </w:lvl>
    <w:lvl w:ilvl="7" w:tentative="0">
      <w:start w:val="1"/>
      <w:numFmt w:val="lowerLetter"/>
      <w:lvlText w:val="%8)"/>
      <w:lvlJc w:val="left"/>
      <w:pPr>
        <w:ind w:left="3680" w:hanging="420"/>
      </w:pPr>
    </w:lvl>
    <w:lvl w:ilvl="8" w:tentative="0">
      <w:start w:val="1"/>
      <w:numFmt w:val="lowerRoman"/>
      <w:lvlText w:val="%9."/>
      <w:lvlJc w:val="right"/>
      <w:pPr>
        <w:ind w:left="4100" w:hanging="420"/>
      </w:pPr>
    </w:lvl>
  </w:abstractNum>
  <w:abstractNum w:abstractNumId="3">
    <w:nsid w:val="71983538"/>
    <w:multiLevelType w:val="multilevel"/>
    <w:tmpl w:val="71983538"/>
    <w:lvl w:ilvl="0" w:tentative="0">
      <w:start w:val="1"/>
      <w:numFmt w:val="decimal"/>
      <w:pStyle w:val="2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bookFoldPrinting w:val="1"/>
  <w:bookFoldPrintingSheets w:val="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AFE"/>
    <w:rsid w:val="00002C33"/>
    <w:rsid w:val="00007E40"/>
    <w:rsid w:val="000143BB"/>
    <w:rsid w:val="00022A43"/>
    <w:rsid w:val="000310FC"/>
    <w:rsid w:val="00032826"/>
    <w:rsid w:val="00045B7E"/>
    <w:rsid w:val="00046721"/>
    <w:rsid w:val="000467FA"/>
    <w:rsid w:val="00047D84"/>
    <w:rsid w:val="00057874"/>
    <w:rsid w:val="000626B3"/>
    <w:rsid w:val="000645B8"/>
    <w:rsid w:val="00077C66"/>
    <w:rsid w:val="000836FE"/>
    <w:rsid w:val="00084C09"/>
    <w:rsid w:val="00091F17"/>
    <w:rsid w:val="000B2BCA"/>
    <w:rsid w:val="000B32F6"/>
    <w:rsid w:val="000B53C6"/>
    <w:rsid w:val="000C0A10"/>
    <w:rsid w:val="000E0A12"/>
    <w:rsid w:val="000E4B28"/>
    <w:rsid w:val="000E59DC"/>
    <w:rsid w:val="000F1112"/>
    <w:rsid w:val="000F2C9B"/>
    <w:rsid w:val="000F41EC"/>
    <w:rsid w:val="00105967"/>
    <w:rsid w:val="00110599"/>
    <w:rsid w:val="00130354"/>
    <w:rsid w:val="001311CB"/>
    <w:rsid w:val="001325C3"/>
    <w:rsid w:val="00136D9D"/>
    <w:rsid w:val="00141B3A"/>
    <w:rsid w:val="00144A92"/>
    <w:rsid w:val="001454F8"/>
    <w:rsid w:val="00146A11"/>
    <w:rsid w:val="001472C7"/>
    <w:rsid w:val="00150B56"/>
    <w:rsid w:val="00155143"/>
    <w:rsid w:val="00177F7B"/>
    <w:rsid w:val="001804AC"/>
    <w:rsid w:val="0019137F"/>
    <w:rsid w:val="001A5102"/>
    <w:rsid w:val="001A71A5"/>
    <w:rsid w:val="001B7A95"/>
    <w:rsid w:val="001C080A"/>
    <w:rsid w:val="001D4473"/>
    <w:rsid w:val="001F05CB"/>
    <w:rsid w:val="001F16FB"/>
    <w:rsid w:val="002035B4"/>
    <w:rsid w:val="002111D2"/>
    <w:rsid w:val="00220492"/>
    <w:rsid w:val="002274F0"/>
    <w:rsid w:val="0023712F"/>
    <w:rsid w:val="002431F8"/>
    <w:rsid w:val="002578F2"/>
    <w:rsid w:val="00270AA5"/>
    <w:rsid w:val="002808E0"/>
    <w:rsid w:val="002935C1"/>
    <w:rsid w:val="00293FF5"/>
    <w:rsid w:val="002966CA"/>
    <w:rsid w:val="00296C7E"/>
    <w:rsid w:val="002B57D5"/>
    <w:rsid w:val="002C4E6E"/>
    <w:rsid w:val="002D463F"/>
    <w:rsid w:val="002E610F"/>
    <w:rsid w:val="002F72B3"/>
    <w:rsid w:val="00300D3E"/>
    <w:rsid w:val="00302648"/>
    <w:rsid w:val="00306175"/>
    <w:rsid w:val="0032292E"/>
    <w:rsid w:val="00327CA1"/>
    <w:rsid w:val="00355723"/>
    <w:rsid w:val="0036048D"/>
    <w:rsid w:val="00363CE0"/>
    <w:rsid w:val="00366982"/>
    <w:rsid w:val="00372CE1"/>
    <w:rsid w:val="00382D6E"/>
    <w:rsid w:val="00384485"/>
    <w:rsid w:val="003A5169"/>
    <w:rsid w:val="003B7D45"/>
    <w:rsid w:val="003E13AB"/>
    <w:rsid w:val="003E7F91"/>
    <w:rsid w:val="003F51B6"/>
    <w:rsid w:val="00410CAA"/>
    <w:rsid w:val="00411A20"/>
    <w:rsid w:val="0041730D"/>
    <w:rsid w:val="00421F64"/>
    <w:rsid w:val="0042666D"/>
    <w:rsid w:val="00432A59"/>
    <w:rsid w:val="00433533"/>
    <w:rsid w:val="004367AD"/>
    <w:rsid w:val="0044497B"/>
    <w:rsid w:val="00446E66"/>
    <w:rsid w:val="0045046A"/>
    <w:rsid w:val="00450BE7"/>
    <w:rsid w:val="00451618"/>
    <w:rsid w:val="00451F17"/>
    <w:rsid w:val="00462BB6"/>
    <w:rsid w:val="00471DA7"/>
    <w:rsid w:val="0049157C"/>
    <w:rsid w:val="004A2F37"/>
    <w:rsid w:val="004A52F8"/>
    <w:rsid w:val="004A780A"/>
    <w:rsid w:val="004B5D10"/>
    <w:rsid w:val="004C7B2D"/>
    <w:rsid w:val="004D25F1"/>
    <w:rsid w:val="004E108F"/>
    <w:rsid w:val="004F304B"/>
    <w:rsid w:val="004F38BE"/>
    <w:rsid w:val="004F6BCF"/>
    <w:rsid w:val="005012FC"/>
    <w:rsid w:val="005024CE"/>
    <w:rsid w:val="005034B9"/>
    <w:rsid w:val="0051545A"/>
    <w:rsid w:val="00524CBB"/>
    <w:rsid w:val="00545ABB"/>
    <w:rsid w:val="00554576"/>
    <w:rsid w:val="00556A21"/>
    <w:rsid w:val="00567577"/>
    <w:rsid w:val="005804E4"/>
    <w:rsid w:val="00584DD0"/>
    <w:rsid w:val="0059206E"/>
    <w:rsid w:val="005A18A8"/>
    <w:rsid w:val="005A3E21"/>
    <w:rsid w:val="005A7C43"/>
    <w:rsid w:val="005B5705"/>
    <w:rsid w:val="005C55EB"/>
    <w:rsid w:val="005D06DF"/>
    <w:rsid w:val="005F2AEA"/>
    <w:rsid w:val="005F6A3F"/>
    <w:rsid w:val="0060065C"/>
    <w:rsid w:val="006217F2"/>
    <w:rsid w:val="00647396"/>
    <w:rsid w:val="00656B5F"/>
    <w:rsid w:val="0067094C"/>
    <w:rsid w:val="00672E79"/>
    <w:rsid w:val="00684D82"/>
    <w:rsid w:val="00695591"/>
    <w:rsid w:val="006C020F"/>
    <w:rsid w:val="006C259B"/>
    <w:rsid w:val="006C2833"/>
    <w:rsid w:val="006E040E"/>
    <w:rsid w:val="006E3C7A"/>
    <w:rsid w:val="006F5134"/>
    <w:rsid w:val="007013D0"/>
    <w:rsid w:val="00703040"/>
    <w:rsid w:val="00707A34"/>
    <w:rsid w:val="00715EA7"/>
    <w:rsid w:val="0072173C"/>
    <w:rsid w:val="00727433"/>
    <w:rsid w:val="00735116"/>
    <w:rsid w:val="00742CED"/>
    <w:rsid w:val="00744A82"/>
    <w:rsid w:val="00745B94"/>
    <w:rsid w:val="00746B79"/>
    <w:rsid w:val="0075490D"/>
    <w:rsid w:val="007858F5"/>
    <w:rsid w:val="00785F80"/>
    <w:rsid w:val="00794498"/>
    <w:rsid w:val="007B26A6"/>
    <w:rsid w:val="007C46A0"/>
    <w:rsid w:val="00802678"/>
    <w:rsid w:val="00823CDA"/>
    <w:rsid w:val="008243D4"/>
    <w:rsid w:val="00833509"/>
    <w:rsid w:val="00836588"/>
    <w:rsid w:val="008420F1"/>
    <w:rsid w:val="008450A8"/>
    <w:rsid w:val="00851D33"/>
    <w:rsid w:val="00852FFE"/>
    <w:rsid w:val="00853AFE"/>
    <w:rsid w:val="00856C67"/>
    <w:rsid w:val="00862448"/>
    <w:rsid w:val="00862AA3"/>
    <w:rsid w:val="00863892"/>
    <w:rsid w:val="00865198"/>
    <w:rsid w:val="008754C2"/>
    <w:rsid w:val="008804D9"/>
    <w:rsid w:val="00881FDA"/>
    <w:rsid w:val="00886558"/>
    <w:rsid w:val="00887ABC"/>
    <w:rsid w:val="008A19F6"/>
    <w:rsid w:val="008A551F"/>
    <w:rsid w:val="008B2348"/>
    <w:rsid w:val="008B5425"/>
    <w:rsid w:val="008B78CE"/>
    <w:rsid w:val="008C34BB"/>
    <w:rsid w:val="008E21B7"/>
    <w:rsid w:val="008E7A00"/>
    <w:rsid w:val="009028D4"/>
    <w:rsid w:val="0091227A"/>
    <w:rsid w:val="009307FB"/>
    <w:rsid w:val="00930DC9"/>
    <w:rsid w:val="00935C69"/>
    <w:rsid w:val="009368E6"/>
    <w:rsid w:val="00941C0A"/>
    <w:rsid w:val="00957CDA"/>
    <w:rsid w:val="00983BFC"/>
    <w:rsid w:val="009A1E5D"/>
    <w:rsid w:val="009B48D9"/>
    <w:rsid w:val="009B7953"/>
    <w:rsid w:val="00A41794"/>
    <w:rsid w:val="00A531C1"/>
    <w:rsid w:val="00A642B8"/>
    <w:rsid w:val="00A654AC"/>
    <w:rsid w:val="00A72B26"/>
    <w:rsid w:val="00A75209"/>
    <w:rsid w:val="00A90085"/>
    <w:rsid w:val="00AB4554"/>
    <w:rsid w:val="00AC1116"/>
    <w:rsid w:val="00AC5EF2"/>
    <w:rsid w:val="00AD3222"/>
    <w:rsid w:val="00AF27D5"/>
    <w:rsid w:val="00B01E18"/>
    <w:rsid w:val="00B02AD0"/>
    <w:rsid w:val="00B0502A"/>
    <w:rsid w:val="00B11EA3"/>
    <w:rsid w:val="00B127D9"/>
    <w:rsid w:val="00B12F46"/>
    <w:rsid w:val="00B1662D"/>
    <w:rsid w:val="00B278E2"/>
    <w:rsid w:val="00B31631"/>
    <w:rsid w:val="00B32583"/>
    <w:rsid w:val="00B3652D"/>
    <w:rsid w:val="00B441AF"/>
    <w:rsid w:val="00B53968"/>
    <w:rsid w:val="00B54059"/>
    <w:rsid w:val="00B56514"/>
    <w:rsid w:val="00B63A89"/>
    <w:rsid w:val="00B655DF"/>
    <w:rsid w:val="00B67848"/>
    <w:rsid w:val="00B84AD0"/>
    <w:rsid w:val="00B86ED6"/>
    <w:rsid w:val="00B91E42"/>
    <w:rsid w:val="00B94FF9"/>
    <w:rsid w:val="00B95740"/>
    <w:rsid w:val="00BA2EEB"/>
    <w:rsid w:val="00BB1007"/>
    <w:rsid w:val="00BB5DBB"/>
    <w:rsid w:val="00BB7D13"/>
    <w:rsid w:val="00BD5101"/>
    <w:rsid w:val="00BD68AD"/>
    <w:rsid w:val="00BF0A21"/>
    <w:rsid w:val="00C040C0"/>
    <w:rsid w:val="00C11CBB"/>
    <w:rsid w:val="00C201F7"/>
    <w:rsid w:val="00C30DFB"/>
    <w:rsid w:val="00C33695"/>
    <w:rsid w:val="00C37707"/>
    <w:rsid w:val="00C43934"/>
    <w:rsid w:val="00C47F04"/>
    <w:rsid w:val="00C54752"/>
    <w:rsid w:val="00C67D3D"/>
    <w:rsid w:val="00C90B6A"/>
    <w:rsid w:val="00C91200"/>
    <w:rsid w:val="00C94A47"/>
    <w:rsid w:val="00CB68C4"/>
    <w:rsid w:val="00CC3B2C"/>
    <w:rsid w:val="00CD114D"/>
    <w:rsid w:val="00CE13B5"/>
    <w:rsid w:val="00CE329E"/>
    <w:rsid w:val="00CE742D"/>
    <w:rsid w:val="00CF04A3"/>
    <w:rsid w:val="00CF4E2E"/>
    <w:rsid w:val="00D0062B"/>
    <w:rsid w:val="00D02AFD"/>
    <w:rsid w:val="00D2180E"/>
    <w:rsid w:val="00D25A79"/>
    <w:rsid w:val="00D27D16"/>
    <w:rsid w:val="00D41B6B"/>
    <w:rsid w:val="00D424CA"/>
    <w:rsid w:val="00D52FC6"/>
    <w:rsid w:val="00D66D11"/>
    <w:rsid w:val="00D711BF"/>
    <w:rsid w:val="00D71D34"/>
    <w:rsid w:val="00D75C1B"/>
    <w:rsid w:val="00D761CF"/>
    <w:rsid w:val="00DA0EBC"/>
    <w:rsid w:val="00DC03E2"/>
    <w:rsid w:val="00DC1B6D"/>
    <w:rsid w:val="00DC2EF6"/>
    <w:rsid w:val="00DC6DD8"/>
    <w:rsid w:val="00DF4B6B"/>
    <w:rsid w:val="00DF64A4"/>
    <w:rsid w:val="00E22245"/>
    <w:rsid w:val="00E23572"/>
    <w:rsid w:val="00E41E54"/>
    <w:rsid w:val="00E549BD"/>
    <w:rsid w:val="00E63CED"/>
    <w:rsid w:val="00E83F94"/>
    <w:rsid w:val="00E879A4"/>
    <w:rsid w:val="00E9019E"/>
    <w:rsid w:val="00EA71D5"/>
    <w:rsid w:val="00EB3A1D"/>
    <w:rsid w:val="00EB61A1"/>
    <w:rsid w:val="00EB7A49"/>
    <w:rsid w:val="00EC2286"/>
    <w:rsid w:val="00EC7745"/>
    <w:rsid w:val="00ED2CCE"/>
    <w:rsid w:val="00ED5FEE"/>
    <w:rsid w:val="00F13C50"/>
    <w:rsid w:val="00F159E5"/>
    <w:rsid w:val="00F40069"/>
    <w:rsid w:val="00F42127"/>
    <w:rsid w:val="00F61928"/>
    <w:rsid w:val="00F63CA1"/>
    <w:rsid w:val="00F652CC"/>
    <w:rsid w:val="00F719E3"/>
    <w:rsid w:val="00F72CFE"/>
    <w:rsid w:val="00F80AC1"/>
    <w:rsid w:val="00F80E8E"/>
    <w:rsid w:val="00F85C63"/>
    <w:rsid w:val="00F94C79"/>
    <w:rsid w:val="00FA1AE7"/>
    <w:rsid w:val="00FA5BEB"/>
    <w:rsid w:val="00FB2995"/>
    <w:rsid w:val="00FB2DB6"/>
    <w:rsid w:val="00FC1044"/>
    <w:rsid w:val="00FC1AEE"/>
    <w:rsid w:val="00FD0D2C"/>
    <w:rsid w:val="00FD1BCA"/>
    <w:rsid w:val="00FD5268"/>
    <w:rsid w:val="00FE524B"/>
    <w:rsid w:val="00FE5F2D"/>
    <w:rsid w:val="012D399C"/>
    <w:rsid w:val="0B9F0780"/>
    <w:rsid w:val="183C144D"/>
    <w:rsid w:val="184F2B94"/>
    <w:rsid w:val="21250374"/>
    <w:rsid w:val="441E55B7"/>
    <w:rsid w:val="45CD215D"/>
    <w:rsid w:val="6D0113B1"/>
    <w:rsid w:val="7F4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numPr>
        <w:ilvl w:val="0"/>
        <w:numId w:val="1"/>
      </w:numPr>
      <w:spacing w:line="360" w:lineRule="auto"/>
      <w:outlineLvl w:val="0"/>
    </w:pPr>
    <w:rPr>
      <w:b/>
      <w:bCs/>
      <w:kern w:val="44"/>
      <w:sz w:val="18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tabs>
        <w:tab w:val="left" w:pos="420"/>
        <w:tab w:val="right" w:leader="dot" w:pos="7389"/>
      </w:tabs>
      <w:spacing w:line="276" w:lineRule="auto"/>
    </w:pPr>
  </w:style>
  <w:style w:type="character" w:styleId="8">
    <w:name w:val="Hyperlink"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5">
    <w:name w:val="No Spacing"/>
    <w:link w:val="16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6">
    <w:name w:val="无间隔 Char"/>
    <w:basedOn w:val="7"/>
    <w:link w:val="15"/>
    <w:qFormat/>
    <w:uiPriority w:val="1"/>
    <w:rPr>
      <w:kern w:val="0"/>
      <w:sz w:val="22"/>
    </w:rPr>
  </w:style>
  <w:style w:type="character" w:customStyle="1" w:styleId="17">
    <w:name w:val="标题 1 Char"/>
    <w:basedOn w:val="7"/>
    <w:link w:val="2"/>
    <w:qFormat/>
    <w:uiPriority w:val="9"/>
    <w:rPr>
      <w:b/>
      <w:bCs/>
      <w:kern w:val="44"/>
      <w:sz w:val="18"/>
      <w:szCs w:val="44"/>
    </w:rPr>
  </w:style>
  <w:style w:type="paragraph" w:customStyle="1" w:styleId="18">
    <w:name w:val="TOC Heading"/>
    <w:basedOn w:val="2"/>
    <w:next w:val="1"/>
    <w:unhideWhenUsed/>
    <w:qFormat/>
    <w:uiPriority w:val="39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1" Type="http://schemas.openxmlformats.org/officeDocument/2006/relationships/fontTable" Target="fontTable.xml"/><Relationship Id="rId30" Type="http://schemas.openxmlformats.org/officeDocument/2006/relationships/customXml" Target="../customXml/item2.xml"/><Relationship Id="rId3" Type="http://schemas.openxmlformats.org/officeDocument/2006/relationships/footer" Target="footer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23.jpe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jpe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jpe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48"/>
    <customShpInfo spid="_x0000_s1030"/>
    <customShpInfo spid="_x0000_s1056"/>
    <customShpInfo spid="_x0000_s1055"/>
    <customShpInfo spid="_x0000_s1034"/>
    <customShpInfo spid="_x0000_s1036"/>
    <customShpInfo spid="_x0000_s1037"/>
    <customShpInfo spid="_x0000_s1038"/>
    <customShpInfo spid="_x0000_s1039"/>
    <customShpInfo spid="_x0000_s1040"/>
    <customShpInfo spid="_x0000_s1035"/>
    <customShpInfo spid="_x0000_s1033"/>
    <customShpInfo spid="_x0000_s1041"/>
    <customShpInfo spid="_x0000_s1032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08F79-9FF0-44AA-A857-E1A558F17C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774</Words>
  <Characters>4415</Characters>
  <Lines>36</Lines>
  <Paragraphs>10</Paragraphs>
  <TotalTime>6</TotalTime>
  <ScaleCrop>false</ScaleCrop>
  <LinksUpToDate>false</LinksUpToDate>
  <CharactersWithSpaces>5179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2014-06-04T02:44:00Z</dcterms:created>
  <dc:creator>微软用户</dc:creator>
  <cp:lastModifiedBy>Happy陶陶</cp:lastModifiedBy>
  <cp:lastPrinted>2018-08-03T08:23:00Z</cp:lastPrinted>
  <dcterms:modified xsi:type="dcterms:W3CDTF">2018-09-26T01:41:35Z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