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38" w:firstLineChars="49"/>
        <w:jc w:val="left"/>
        <w:rPr>
          <w:rFonts w:ascii="宋体" w:hAnsi="宋体"/>
          <w:b/>
          <w:sz w:val="28"/>
          <w:szCs w:val="28"/>
          <w:u w:val="thick"/>
        </w:rPr>
      </w:pPr>
      <w:r>
        <w:rPr>
          <w:rFonts w:hint="eastAsia" w:ascii="宋体" w:hAnsi="宋体"/>
          <w:b/>
          <w:sz w:val="28"/>
          <w:szCs w:val="28"/>
          <w:u w:val="thick"/>
        </w:rPr>
        <w:t>测量范围为0～100%LEL的点型可燃气体探测器</w:t>
      </w:r>
      <w:r>
        <w:rPr>
          <w:rFonts w:hint="eastAsia" w:ascii="宋体" w:hAnsi="宋体"/>
          <w:b/>
          <w:sz w:val="32"/>
          <w:szCs w:val="28"/>
          <w:u w:val="thick"/>
        </w:rPr>
        <w:t xml:space="preserve"> </w:t>
      </w:r>
      <w:r>
        <w:rPr>
          <w:rFonts w:hint="eastAsia" w:ascii="宋体" w:hAnsi="宋体"/>
          <w:b/>
          <w:sz w:val="28"/>
          <w:szCs w:val="28"/>
          <w:u w:val="thick"/>
        </w:rPr>
        <w:t xml:space="preserve"> </w:t>
      </w:r>
    </w:p>
    <w:p>
      <w:pPr>
        <w:jc w:val="left"/>
        <w:rPr>
          <w:rFonts w:ascii="新宋体" w:hAnsi="新宋体" w:eastAsia="新宋体"/>
          <w:b/>
          <w:sz w:val="28"/>
          <w:szCs w:val="28"/>
        </w:rPr>
      </w:pPr>
    </w:p>
    <w:p>
      <w:pPr>
        <w:jc w:val="left"/>
        <w:rPr>
          <w:rFonts w:ascii="新宋体" w:hAnsi="新宋体" w:eastAsia="新宋体"/>
          <w:b/>
          <w:sz w:val="28"/>
          <w:szCs w:val="28"/>
        </w:rPr>
      </w:pPr>
    </w:p>
    <w:p>
      <w:pPr>
        <w:jc w:val="center"/>
        <w:rPr>
          <w:rFonts w:ascii="新宋体" w:hAnsi="新宋体" w:eastAsia="新宋体"/>
          <w:b/>
          <w:sz w:val="40"/>
          <w:szCs w:val="28"/>
        </w:rPr>
      </w:pPr>
    </w:p>
    <w:p>
      <w:pPr>
        <w:jc w:val="center"/>
        <w:rPr>
          <w:rFonts w:ascii="新宋体" w:hAnsi="新宋体" w:eastAsia="新宋体"/>
          <w:b/>
          <w:sz w:val="40"/>
          <w:szCs w:val="28"/>
        </w:rPr>
      </w:pPr>
    </w:p>
    <w:p>
      <w:pPr>
        <w:jc w:val="center"/>
        <w:rPr>
          <w:rFonts w:ascii="微软雅黑" w:hAnsi="微软雅黑" w:eastAsia="微软雅黑"/>
          <w:b/>
          <w:sz w:val="44"/>
          <w:szCs w:val="28"/>
        </w:rPr>
      </w:pPr>
      <w:r>
        <w:rPr>
          <w:rFonts w:hint="eastAsia" w:ascii="微软雅黑" w:hAnsi="微软雅黑" w:eastAsia="微软雅黑"/>
          <w:b/>
          <w:sz w:val="44"/>
          <w:szCs w:val="28"/>
          <w:lang w:val="en-US" w:eastAsia="zh-CN"/>
        </w:rPr>
        <w:t>DN-T3000AS</w:t>
      </w:r>
      <w:r>
        <w:rPr>
          <w:rFonts w:hint="eastAsia" w:ascii="微软雅黑" w:hAnsi="微软雅黑" w:eastAsia="微软雅黑"/>
          <w:b/>
          <w:sz w:val="44"/>
          <w:szCs w:val="28"/>
        </w:rPr>
        <w:t>型</w:t>
      </w:r>
    </w:p>
    <w:p>
      <w:pPr>
        <w:jc w:val="center"/>
        <w:rPr>
          <w:rFonts w:ascii="微软雅黑" w:hAnsi="微软雅黑" w:eastAsia="微软雅黑"/>
          <w:b/>
          <w:sz w:val="56"/>
          <w:szCs w:val="28"/>
        </w:rPr>
      </w:pPr>
      <w:r>
        <w:rPr>
          <w:rFonts w:hint="eastAsia" w:ascii="微软雅黑" w:hAnsi="微软雅黑" w:eastAsia="微软雅黑"/>
          <w:b/>
          <w:sz w:val="56"/>
          <w:szCs w:val="28"/>
        </w:rPr>
        <w:t>使 用 说 明 书</w:t>
      </w:r>
    </w:p>
    <w:p>
      <w:pPr>
        <w:jc w:val="left"/>
        <w:rPr>
          <w:rFonts w:ascii="宋体" w:hAnsi="宋体"/>
          <w:b/>
          <w:sz w:val="28"/>
          <w:szCs w:val="28"/>
        </w:rPr>
      </w:pPr>
    </w:p>
    <w:p>
      <w:pPr>
        <w:jc w:val="left"/>
        <w:rPr>
          <w:rFonts w:ascii="宋体" w:hAnsi="宋体"/>
          <w:b/>
          <w:sz w:val="28"/>
          <w:szCs w:val="28"/>
        </w:rPr>
      </w:pPr>
    </w:p>
    <w:p>
      <w:pPr>
        <w:jc w:val="left"/>
        <w:rPr>
          <w:rFonts w:ascii="宋体" w:hAnsi="宋体"/>
          <w:b/>
          <w:sz w:val="28"/>
          <w:szCs w:val="28"/>
        </w:rPr>
      </w:pPr>
    </w:p>
    <w:p>
      <w:pPr>
        <w:jc w:val="left"/>
        <w:rPr>
          <w:rFonts w:ascii="宋体" w:hAnsi="宋体"/>
          <w:b/>
          <w:sz w:val="28"/>
          <w:szCs w:val="28"/>
        </w:rPr>
      </w:pPr>
    </w:p>
    <w:p>
      <w:pPr>
        <w:jc w:val="left"/>
        <w:rPr>
          <w:rFonts w:ascii="宋体" w:hAnsi="宋体"/>
          <w:b/>
          <w:sz w:val="28"/>
          <w:szCs w:val="28"/>
        </w:rPr>
      </w:pPr>
    </w:p>
    <w:p>
      <w:pPr>
        <w:jc w:val="left"/>
        <w:rPr>
          <w:rFonts w:ascii="宋体" w:hAnsi="宋体"/>
          <w:b/>
          <w:sz w:val="28"/>
          <w:szCs w:val="28"/>
          <w:u w:val="thick"/>
        </w:rPr>
      </w:pPr>
      <w:r>
        <w:rPr>
          <w:rFonts w:hint="eastAsia" w:ascii="宋体" w:hAnsi="宋体"/>
          <w:b/>
          <w:sz w:val="28"/>
          <w:szCs w:val="28"/>
          <w:u w:val="thick"/>
        </w:rPr>
        <w:t xml:space="preserve">                                                          </w:t>
      </w:r>
    </w:p>
    <w:p>
      <w:pPr>
        <w:tabs>
          <w:tab w:val="left" w:pos="870"/>
        </w:tabs>
        <w:jc w:val="center"/>
        <w:rPr>
          <w:rFonts w:hint="eastAsia" w:ascii="宋体" w:hAnsi="宋体" w:eastAsia="宋体"/>
          <w:b/>
          <w:sz w:val="24"/>
          <w:lang w:eastAsia="zh-CN"/>
        </w:rPr>
      </w:pPr>
      <w:r>
        <w:rPr>
          <w:rFonts w:hint="eastAsia" w:ascii="宋体" w:hAnsi="宋体"/>
          <w:b/>
          <w:sz w:val="24"/>
          <w:lang w:eastAsia="zh-CN"/>
        </w:rPr>
        <w:t>济南鼎诺科技有限公司</w:t>
      </w:r>
    </w:p>
    <w:p>
      <w:pPr>
        <w:tabs>
          <w:tab w:val="left" w:pos="870"/>
        </w:tabs>
        <w:jc w:val="center"/>
        <w:rPr>
          <w:rFonts w:ascii="宋体" w:hAnsi="宋体"/>
          <w:b/>
          <w:sz w:val="24"/>
        </w:rPr>
      </w:pPr>
    </w:p>
    <w:p>
      <w:pPr>
        <w:tabs>
          <w:tab w:val="left" w:pos="870"/>
        </w:tabs>
        <w:jc w:val="center"/>
        <w:rPr>
          <w:rFonts w:hint="eastAsia" w:ascii="宋体" w:hAnsi="宋体"/>
          <w:b/>
          <w:sz w:val="24"/>
        </w:rPr>
      </w:pPr>
      <w:r>
        <w:rPr>
          <w:rFonts w:hint="eastAsia" w:ascii="宋体" w:hAnsi="宋体"/>
          <w:b/>
          <w:sz w:val="24"/>
        </w:rPr>
        <w:t xml:space="preserve">                        编制日期：201</w:t>
      </w:r>
      <w:r>
        <w:rPr>
          <w:rFonts w:hint="eastAsia" w:ascii="宋体" w:hAnsi="宋体"/>
          <w:b/>
          <w:sz w:val="24"/>
          <w:lang w:val="en-US" w:eastAsia="zh-CN"/>
        </w:rPr>
        <w:t>6</w:t>
      </w:r>
      <w:r>
        <w:rPr>
          <w:rFonts w:hint="eastAsia" w:ascii="宋体" w:hAnsi="宋体"/>
          <w:b/>
          <w:sz w:val="24"/>
        </w:rPr>
        <w:t>年1</w:t>
      </w:r>
      <w:r>
        <w:rPr>
          <w:rFonts w:hint="eastAsia" w:ascii="宋体" w:hAnsi="宋体"/>
          <w:b/>
          <w:sz w:val="24"/>
          <w:lang w:val="en-US" w:eastAsia="zh-CN"/>
        </w:rPr>
        <w:t>1</w:t>
      </w:r>
      <w:r>
        <w:rPr>
          <w:rFonts w:hint="eastAsia" w:ascii="宋体" w:hAnsi="宋体"/>
          <w:b/>
          <w:sz w:val="24"/>
        </w:rPr>
        <w:t>月</w:t>
      </w:r>
    </w:p>
    <w:p>
      <w:pPr>
        <w:tabs>
          <w:tab w:val="left" w:pos="870"/>
        </w:tabs>
        <w:jc w:val="center"/>
        <w:rPr>
          <w:rFonts w:hint="eastAsia" w:ascii="宋体" w:hAnsi="宋体"/>
          <w:b/>
          <w:sz w:val="24"/>
        </w:rPr>
      </w:pPr>
    </w:p>
    <w:p>
      <w:pPr>
        <w:tabs>
          <w:tab w:val="left" w:pos="870"/>
        </w:tabs>
        <w:jc w:val="center"/>
        <w:rPr>
          <w:rFonts w:hint="eastAsia" w:ascii="宋体" w:hAnsi="宋体"/>
          <w:b/>
          <w:sz w:val="24"/>
        </w:rPr>
      </w:pPr>
    </w:p>
    <w:p>
      <w:pPr>
        <w:tabs>
          <w:tab w:val="left" w:pos="870"/>
        </w:tabs>
        <w:jc w:val="center"/>
        <w:rPr>
          <w:rFonts w:ascii="宋体" w:hAnsi="宋体"/>
          <w:b/>
          <w:sz w:val="24"/>
        </w:rPr>
      </w:pPr>
    </w:p>
    <w:p>
      <w:pPr>
        <w:widowControl/>
        <w:spacing w:line="360" w:lineRule="auto"/>
        <w:jc w:val="center"/>
        <w:rPr>
          <w:rFonts w:ascii="宋体" w:hAnsi="宋体"/>
          <w:b/>
          <w:sz w:val="28"/>
        </w:rPr>
      </w:pPr>
      <w:r>
        <w:rPr>
          <w:rFonts w:ascii="宋体" w:hAnsi="宋体"/>
          <w:sz w:val="24"/>
        </w:rPr>
        <w:drawing>
          <wp:inline distT="0" distB="0" distL="0" distR="0">
            <wp:extent cx="365760" cy="332740"/>
            <wp:effectExtent l="0" t="0" r="0" b="0"/>
            <wp:docPr id="40" name="图片 40" descr="C:\Documents and Settings\Administrator\Application Data\Tencent\Users\514789114\QQ\WinTemp\RichOle\}BBT{J5U7_}FD~AJKJEX)X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C:\Documents and Settings\Administrator\Application Data\Tencent\Users\514789114\QQ\WinTemp\RichOle\}BBT{J5U7_}FD~AJKJEX)XU.jpg"/>
                    <pic:cNvPicPr>
                      <a:picLocks noChangeAspect="1" noChangeArrowheads="1"/>
                    </pic:cNvPicPr>
                  </pic:nvPicPr>
                  <pic:blipFill>
                    <a:blip r:embed="rId8" cstate="print">
                      <a:extLst>
                        <a:ext uri="{28A0092B-C50C-407E-A947-70E740481C1C}">
                          <a14:useLocalDpi xmlns:a14="http://schemas.microsoft.com/office/drawing/2010/main" val="0"/>
                        </a:ext>
                      </a:extLst>
                    </a:blip>
                    <a:srcRect l="7570" r="10327" b="13744"/>
                    <a:stretch>
                      <a:fillRect/>
                    </a:stretch>
                  </pic:blipFill>
                  <pic:spPr>
                    <a:xfrm>
                      <a:off x="0" y="0"/>
                      <a:ext cx="365760" cy="332740"/>
                    </a:xfrm>
                    <a:prstGeom prst="rect">
                      <a:avLst/>
                    </a:prstGeom>
                    <a:noFill/>
                    <a:ln>
                      <a:noFill/>
                    </a:ln>
                  </pic:spPr>
                </pic:pic>
              </a:graphicData>
            </a:graphic>
          </wp:inline>
        </w:drawing>
      </w:r>
      <w:r>
        <w:rPr>
          <w:rFonts w:hint="eastAsia" w:ascii="宋体" w:hAnsi="宋体"/>
          <w:sz w:val="24"/>
        </w:rPr>
        <w:t xml:space="preserve"> </w:t>
      </w:r>
      <w:r>
        <w:rPr>
          <w:rFonts w:hint="eastAsia" w:ascii="宋体" w:hAnsi="宋体"/>
          <w:b/>
          <w:sz w:val="28"/>
        </w:rPr>
        <w:t>安全事项</w:t>
      </w:r>
    </w:p>
    <w:p>
      <w:pPr>
        <w:widowControl/>
        <w:rPr>
          <w:rFonts w:ascii="宋体" w:hAnsi="宋体"/>
          <w:sz w:val="24"/>
        </w:rPr>
      </w:pPr>
    </w:p>
    <w:p>
      <w:pPr>
        <w:widowControl/>
        <w:spacing w:line="360" w:lineRule="auto"/>
        <w:rPr>
          <w:rFonts w:ascii="宋体" w:hAnsi="宋体"/>
          <w:sz w:val="24"/>
        </w:rPr>
      </w:pPr>
      <w:r>
        <w:rPr>
          <w:rFonts w:hint="eastAsia" w:ascii="宋体" w:hAnsi="宋体"/>
          <w:sz w:val="24"/>
        </w:rPr>
        <w:t>设备安装、操作和维护之前务必仔细阅读技术手册。</w:t>
      </w:r>
    </w:p>
    <w:p>
      <w:pPr>
        <w:widowControl/>
        <w:spacing w:line="360" w:lineRule="auto"/>
        <w:rPr>
          <w:rFonts w:ascii="宋体" w:hAnsi="宋体"/>
          <w:sz w:val="24"/>
        </w:rPr>
      </w:pPr>
      <w:r>
        <w:rPr>
          <w:rFonts w:hint="eastAsia" w:ascii="宋体" w:hAnsi="宋体"/>
          <w:sz w:val="24"/>
        </w:rPr>
        <w:t>安全过程及操作必须严格遵守国家相关公认标准要求。</w:t>
      </w:r>
    </w:p>
    <w:p>
      <w:pPr>
        <w:widowControl/>
        <w:spacing w:line="360" w:lineRule="auto"/>
        <w:rPr>
          <w:rFonts w:ascii="宋体" w:hAnsi="宋体"/>
          <w:sz w:val="24"/>
        </w:rPr>
      </w:pPr>
      <w:r>
        <w:rPr>
          <w:rFonts w:hint="eastAsia" w:ascii="宋体" w:hAnsi="宋体"/>
          <w:sz w:val="24"/>
        </w:rPr>
        <w:t>探测器内部的任何操作都必须由专业人员执行。</w:t>
      </w:r>
    </w:p>
    <w:p>
      <w:pPr>
        <w:widowControl/>
        <w:spacing w:line="360" w:lineRule="auto"/>
        <w:rPr>
          <w:rFonts w:ascii="宋体" w:hAnsi="宋体"/>
          <w:sz w:val="24"/>
        </w:rPr>
      </w:pPr>
      <w:r>
        <w:rPr>
          <w:rFonts w:hint="eastAsia" w:ascii="宋体" w:hAnsi="宋体"/>
          <w:sz w:val="24"/>
        </w:rPr>
        <w:t>打开探测器机壳之前，为减少危险气体点燃的风险，必须断开电源。</w:t>
      </w:r>
    </w:p>
    <w:p>
      <w:pPr>
        <w:widowControl/>
        <w:spacing w:line="360" w:lineRule="auto"/>
        <w:rPr>
          <w:rFonts w:ascii="宋体" w:hAnsi="宋体"/>
          <w:sz w:val="24"/>
        </w:rPr>
      </w:pPr>
      <w:r>
        <w:rPr>
          <w:rFonts w:hint="eastAsia" w:ascii="宋体" w:hAnsi="宋体"/>
          <w:sz w:val="24"/>
        </w:rPr>
        <w:t>切勿在危险气体可能存在的情况下打开接线盒/机壳或更换传感器。</w:t>
      </w:r>
    </w:p>
    <w:p>
      <w:pPr>
        <w:widowControl/>
        <w:spacing w:line="360" w:lineRule="auto"/>
        <w:rPr>
          <w:rFonts w:ascii="宋体" w:hAnsi="宋体"/>
          <w:sz w:val="24"/>
        </w:rPr>
      </w:pPr>
      <w:r>
        <w:rPr>
          <w:rFonts w:hint="eastAsia" w:ascii="宋体" w:hAnsi="宋体"/>
          <w:sz w:val="24"/>
        </w:rPr>
        <w:t>探测器必须安全接地，以防受到射频干扰的影响。</w:t>
      </w:r>
    </w:p>
    <w:p>
      <w:pPr>
        <w:widowControl/>
        <w:spacing w:line="360" w:lineRule="auto"/>
        <w:rPr>
          <w:rFonts w:ascii="宋体" w:hAnsi="宋体"/>
          <w:sz w:val="24"/>
        </w:rPr>
      </w:pPr>
      <w:r>
        <w:rPr>
          <w:rFonts w:hint="eastAsia" w:ascii="宋体" w:hAnsi="宋体"/>
          <w:sz w:val="24"/>
        </w:rPr>
        <w:t>传感器内部可能含有腐蚀性溶液，故处理时应特别小心。</w:t>
      </w:r>
    </w:p>
    <w:p>
      <w:pPr>
        <w:widowControl/>
        <w:spacing w:line="360" w:lineRule="auto"/>
        <w:rPr>
          <w:rFonts w:ascii="宋体" w:hAnsi="宋体"/>
          <w:sz w:val="24"/>
        </w:rPr>
      </w:pPr>
      <w:r>
        <w:rPr>
          <w:rFonts w:hint="eastAsia" w:ascii="宋体" w:hAnsi="宋体"/>
          <w:sz w:val="24"/>
        </w:rPr>
        <w:t>切勿擅自或任意拆卸传感器。</w:t>
      </w:r>
    </w:p>
    <w:p>
      <w:pPr>
        <w:widowControl/>
        <w:spacing w:line="360" w:lineRule="auto"/>
        <w:rPr>
          <w:rFonts w:ascii="宋体" w:hAnsi="宋体"/>
          <w:sz w:val="24"/>
        </w:rPr>
      </w:pPr>
      <w:r>
        <w:rPr>
          <w:rFonts w:hint="eastAsia" w:ascii="宋体" w:hAnsi="宋体"/>
          <w:sz w:val="24"/>
        </w:rPr>
        <w:t>不得将传感器置于超建议范围的温度下。</w:t>
      </w:r>
    </w:p>
    <w:p>
      <w:pPr>
        <w:widowControl/>
        <w:spacing w:line="360" w:lineRule="auto"/>
        <w:rPr>
          <w:rFonts w:ascii="宋体" w:hAnsi="宋体"/>
          <w:sz w:val="24"/>
        </w:rPr>
      </w:pPr>
      <w:r>
        <w:rPr>
          <w:rFonts w:hint="eastAsia" w:ascii="宋体" w:hAnsi="宋体"/>
          <w:sz w:val="24"/>
        </w:rPr>
        <w:t>不得将传感器置于有机溶剂或可燃性液体中。</w:t>
      </w:r>
    </w:p>
    <w:p>
      <w:pPr>
        <w:widowControl/>
        <w:spacing w:line="360" w:lineRule="auto"/>
        <w:rPr>
          <w:rFonts w:ascii="宋体" w:hAnsi="宋体"/>
          <w:sz w:val="24"/>
        </w:rPr>
      </w:pPr>
      <w:r>
        <w:rPr>
          <w:rFonts w:hint="eastAsia" w:ascii="宋体" w:hAnsi="宋体"/>
          <w:sz w:val="24"/>
        </w:rPr>
        <w:t>传感器使用期限达到时，应从环保角度，依照地方废物管理以及环境法规的要求进行安全处理。</w:t>
      </w:r>
    </w:p>
    <w:p>
      <w:pPr>
        <w:spacing w:line="360" w:lineRule="exact"/>
        <w:jc w:val="center"/>
        <w:rPr>
          <w:rFonts w:ascii="宋体" w:hAnsi="宋体"/>
          <w:b/>
          <w:sz w:val="24"/>
        </w:rPr>
      </w:pPr>
    </w:p>
    <w:p>
      <w:pPr>
        <w:spacing w:line="360" w:lineRule="exact"/>
        <w:jc w:val="center"/>
        <w:rPr>
          <w:rFonts w:ascii="宋体" w:hAnsi="宋体"/>
          <w:b/>
          <w:sz w:val="24"/>
        </w:rPr>
      </w:pPr>
    </w:p>
    <w:p>
      <w:pPr>
        <w:spacing w:line="360" w:lineRule="exact"/>
        <w:jc w:val="center"/>
        <w:rPr>
          <w:rFonts w:ascii="宋体" w:hAnsi="宋体"/>
          <w:b/>
          <w:sz w:val="24"/>
        </w:rPr>
      </w:pPr>
    </w:p>
    <w:p>
      <w:pPr>
        <w:spacing w:line="360" w:lineRule="exact"/>
        <w:jc w:val="center"/>
        <w:rPr>
          <w:rFonts w:ascii="宋体" w:hAnsi="宋体"/>
          <w:b/>
          <w:sz w:val="24"/>
        </w:rPr>
      </w:pPr>
    </w:p>
    <w:p>
      <w:pPr>
        <w:spacing w:line="360" w:lineRule="exact"/>
        <w:jc w:val="center"/>
        <w:rPr>
          <w:rFonts w:ascii="宋体" w:hAnsi="宋体"/>
          <w:b/>
          <w:sz w:val="24"/>
        </w:rPr>
      </w:pPr>
    </w:p>
    <w:p>
      <w:pPr>
        <w:spacing w:line="360" w:lineRule="exact"/>
        <w:rPr>
          <w:rFonts w:ascii="宋体" w:hAnsi="宋体"/>
          <w:b/>
          <w:sz w:val="24"/>
        </w:rPr>
      </w:pPr>
    </w:p>
    <w:sdt>
      <w:sdtPr>
        <w:rPr>
          <w:rFonts w:ascii="Times New Roman" w:hAnsi="Times New Roman" w:eastAsia="宋体" w:cs="Times New Roman"/>
          <w:b w:val="0"/>
          <w:bCs w:val="0"/>
          <w:color w:val="auto"/>
          <w:kern w:val="2"/>
          <w:sz w:val="21"/>
          <w:szCs w:val="24"/>
          <w:lang w:val="zh-CN"/>
        </w:rPr>
        <w:id w:val="30480786"/>
      </w:sdtPr>
      <w:sdtEndPr>
        <w:rPr>
          <w:rFonts w:ascii="Times New Roman" w:hAnsi="Times New Roman" w:eastAsia="宋体" w:cs="Times New Roman"/>
          <w:b w:val="0"/>
          <w:bCs w:val="0"/>
          <w:color w:val="auto"/>
          <w:kern w:val="2"/>
          <w:sz w:val="21"/>
          <w:szCs w:val="24"/>
          <w:lang w:val="en-US"/>
        </w:rPr>
      </w:sdtEndPr>
      <w:sdtContent>
        <w:p>
          <w:pPr>
            <w:pStyle w:val="19"/>
            <w:spacing w:line="480" w:lineRule="auto"/>
            <w:ind w:firstLine="1785" w:firstLineChars="850"/>
            <w:rPr>
              <w:sz w:val="21"/>
              <w:szCs w:val="21"/>
            </w:rPr>
          </w:pPr>
          <w:r>
            <w:rPr>
              <w:sz w:val="32"/>
              <w:szCs w:val="32"/>
              <w:lang w:val="zh-CN"/>
            </w:rPr>
            <w:t>目</w:t>
          </w:r>
          <w:r>
            <w:rPr>
              <w:rFonts w:hint="eastAsia"/>
              <w:sz w:val="32"/>
              <w:szCs w:val="32"/>
              <w:lang w:val="zh-CN"/>
            </w:rPr>
            <w:t xml:space="preserve">    </w:t>
          </w:r>
          <w:r>
            <w:rPr>
              <w:sz w:val="32"/>
              <w:szCs w:val="32"/>
              <w:lang w:val="zh-CN"/>
            </w:rPr>
            <w:t>录</w:t>
          </w:r>
        </w:p>
        <w:p>
          <w:pPr>
            <w:pStyle w:val="7"/>
            <w:tabs>
              <w:tab w:val="left" w:pos="420"/>
              <w:tab w:val="right" w:leader="dot" w:pos="6142"/>
            </w:tabs>
            <w:spacing w:line="480" w:lineRule="auto"/>
            <w:rPr>
              <w:rFonts w:ascii="宋体" w:hAnsi="宋体"/>
              <w:sz w:val="24"/>
            </w:rPr>
          </w:pPr>
          <w:r>
            <w:rPr>
              <w:rFonts w:ascii="宋体" w:hAnsi="宋体"/>
              <w:szCs w:val="21"/>
            </w:rPr>
            <w:fldChar w:fldCharType="begin"/>
          </w:r>
          <w:r>
            <w:rPr>
              <w:rFonts w:ascii="宋体" w:hAnsi="宋体"/>
              <w:szCs w:val="21"/>
            </w:rPr>
            <w:instrText xml:space="preserve"> TOC \o "1-3" \h \z \u </w:instrText>
          </w:r>
          <w:r>
            <w:rPr>
              <w:rFonts w:ascii="宋体" w:hAnsi="宋体"/>
              <w:szCs w:val="21"/>
            </w:rPr>
            <w:fldChar w:fldCharType="separate"/>
          </w:r>
          <w:r>
            <w:fldChar w:fldCharType="begin"/>
          </w:r>
          <w:r>
            <w:instrText xml:space="preserve"> HYPERLINK \l "_Toc408843068" </w:instrText>
          </w:r>
          <w:r>
            <w:fldChar w:fldCharType="separate"/>
          </w:r>
          <w:r>
            <w:rPr>
              <w:rStyle w:val="11"/>
              <w:rFonts w:ascii="宋体" w:hAnsi="宋体"/>
              <w:sz w:val="24"/>
            </w:rPr>
            <w:t>1.</w:t>
          </w:r>
          <w:r>
            <w:rPr>
              <w:rFonts w:ascii="宋体" w:hAnsi="宋体"/>
              <w:sz w:val="24"/>
            </w:rPr>
            <w:tab/>
          </w:r>
          <w:r>
            <w:rPr>
              <w:rStyle w:val="11"/>
              <w:rFonts w:hint="eastAsia" w:ascii="宋体" w:hAnsi="宋体"/>
              <w:sz w:val="24"/>
            </w:rPr>
            <w:t>概</w:t>
          </w:r>
          <w:r>
            <w:rPr>
              <w:rStyle w:val="11"/>
              <w:rFonts w:ascii="宋体" w:hAnsi="宋体"/>
              <w:sz w:val="24"/>
            </w:rPr>
            <w:t xml:space="preserve">  </w:t>
          </w:r>
          <w:r>
            <w:rPr>
              <w:rStyle w:val="11"/>
              <w:rFonts w:hint="eastAsia" w:ascii="宋体" w:hAnsi="宋体"/>
              <w:sz w:val="24"/>
            </w:rPr>
            <w:t>述：</w:t>
          </w:r>
          <w:r>
            <w:rPr>
              <w:rFonts w:ascii="宋体" w:hAnsi="宋体"/>
              <w:sz w:val="24"/>
            </w:rPr>
            <w:tab/>
          </w:r>
          <w:r>
            <w:rPr>
              <w:rFonts w:ascii="宋体" w:hAnsi="宋体"/>
              <w:sz w:val="24"/>
            </w:rPr>
            <w:fldChar w:fldCharType="begin"/>
          </w:r>
          <w:r>
            <w:rPr>
              <w:rFonts w:ascii="宋体" w:hAnsi="宋体"/>
              <w:sz w:val="24"/>
            </w:rPr>
            <w:instrText xml:space="preserve"> PAGEREF _Toc408843068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7"/>
            <w:tabs>
              <w:tab w:val="left" w:pos="420"/>
              <w:tab w:val="right" w:leader="dot" w:pos="6142"/>
            </w:tabs>
            <w:spacing w:line="480" w:lineRule="auto"/>
            <w:rPr>
              <w:rFonts w:ascii="宋体" w:hAnsi="宋体"/>
              <w:sz w:val="24"/>
            </w:rPr>
          </w:pPr>
          <w:r>
            <w:fldChar w:fldCharType="begin"/>
          </w:r>
          <w:r>
            <w:instrText xml:space="preserve"> HYPERLINK \l "_Toc408843069" </w:instrText>
          </w:r>
          <w:r>
            <w:fldChar w:fldCharType="separate"/>
          </w:r>
          <w:r>
            <w:rPr>
              <w:rStyle w:val="11"/>
              <w:rFonts w:ascii="宋体" w:hAnsi="宋体"/>
              <w:sz w:val="24"/>
            </w:rPr>
            <w:t>2.</w:t>
          </w:r>
          <w:r>
            <w:rPr>
              <w:rFonts w:ascii="宋体" w:hAnsi="宋体"/>
              <w:sz w:val="24"/>
            </w:rPr>
            <w:tab/>
          </w:r>
          <w:r>
            <w:rPr>
              <w:rStyle w:val="11"/>
              <w:rFonts w:hint="eastAsia" w:ascii="宋体" w:hAnsi="宋体"/>
              <w:sz w:val="24"/>
            </w:rPr>
            <w:t>主要技术参数：</w:t>
          </w:r>
          <w:r>
            <w:rPr>
              <w:rFonts w:ascii="宋体" w:hAnsi="宋体"/>
              <w:sz w:val="24"/>
            </w:rPr>
            <w:tab/>
          </w:r>
          <w:r>
            <w:rPr>
              <w:rFonts w:ascii="宋体" w:hAnsi="宋体"/>
              <w:sz w:val="24"/>
            </w:rPr>
            <w:fldChar w:fldCharType="begin"/>
          </w:r>
          <w:r>
            <w:rPr>
              <w:rFonts w:ascii="宋体" w:hAnsi="宋体"/>
              <w:sz w:val="24"/>
            </w:rPr>
            <w:instrText xml:space="preserve"> PAGEREF _Toc408843069 \h </w:instrText>
          </w:r>
          <w:r>
            <w:rPr>
              <w:rFonts w:ascii="宋体" w:hAnsi="宋体"/>
              <w:sz w:val="24"/>
            </w:rPr>
            <w:fldChar w:fldCharType="separate"/>
          </w:r>
          <w:r>
            <w:rPr>
              <w:rFonts w:ascii="宋体" w:hAnsi="宋体"/>
              <w:sz w:val="24"/>
            </w:rPr>
            <w:t>4</w:t>
          </w:r>
          <w:r>
            <w:rPr>
              <w:rFonts w:ascii="宋体" w:hAnsi="宋体"/>
              <w:sz w:val="24"/>
            </w:rPr>
            <w:fldChar w:fldCharType="end"/>
          </w:r>
          <w:r>
            <w:rPr>
              <w:rFonts w:ascii="宋体" w:hAnsi="宋体"/>
              <w:sz w:val="24"/>
            </w:rPr>
            <w:fldChar w:fldCharType="end"/>
          </w:r>
        </w:p>
        <w:p>
          <w:pPr>
            <w:pStyle w:val="7"/>
            <w:tabs>
              <w:tab w:val="left" w:pos="420"/>
              <w:tab w:val="right" w:leader="dot" w:pos="6142"/>
            </w:tabs>
            <w:spacing w:line="480" w:lineRule="auto"/>
            <w:rPr>
              <w:rFonts w:ascii="宋体" w:hAnsi="宋体"/>
              <w:sz w:val="24"/>
            </w:rPr>
          </w:pPr>
          <w:r>
            <w:fldChar w:fldCharType="begin"/>
          </w:r>
          <w:r>
            <w:instrText xml:space="preserve"> HYPERLINK \l "_Toc408843070" </w:instrText>
          </w:r>
          <w:r>
            <w:fldChar w:fldCharType="separate"/>
          </w:r>
          <w:r>
            <w:rPr>
              <w:rStyle w:val="11"/>
              <w:rFonts w:ascii="宋体" w:hAnsi="宋体"/>
              <w:sz w:val="24"/>
            </w:rPr>
            <w:t>3.</w:t>
          </w:r>
          <w:r>
            <w:rPr>
              <w:rFonts w:ascii="宋体" w:hAnsi="宋体"/>
              <w:sz w:val="24"/>
            </w:rPr>
            <w:tab/>
          </w:r>
          <w:r>
            <w:rPr>
              <w:rStyle w:val="11"/>
              <w:rFonts w:hint="eastAsia" w:ascii="宋体" w:hAnsi="宋体"/>
              <w:sz w:val="24"/>
            </w:rPr>
            <w:t>结构特征与安装：</w:t>
          </w:r>
          <w:r>
            <w:rPr>
              <w:rFonts w:ascii="宋体" w:hAnsi="宋体"/>
              <w:sz w:val="24"/>
            </w:rPr>
            <w:tab/>
          </w:r>
          <w:r>
            <w:rPr>
              <w:rFonts w:ascii="宋体" w:hAnsi="宋体"/>
              <w:sz w:val="24"/>
            </w:rPr>
            <w:fldChar w:fldCharType="begin"/>
          </w:r>
          <w:r>
            <w:rPr>
              <w:rFonts w:ascii="宋体" w:hAnsi="宋体"/>
              <w:sz w:val="24"/>
            </w:rPr>
            <w:instrText xml:space="preserve"> PAGEREF _Toc408843070 \h </w:instrText>
          </w:r>
          <w:r>
            <w:rPr>
              <w:rFonts w:ascii="宋体" w:hAnsi="宋体"/>
              <w:sz w:val="24"/>
            </w:rPr>
            <w:fldChar w:fldCharType="separate"/>
          </w:r>
          <w:r>
            <w:rPr>
              <w:rFonts w:ascii="宋体" w:hAnsi="宋体"/>
              <w:sz w:val="24"/>
            </w:rPr>
            <w:t>5</w:t>
          </w:r>
          <w:r>
            <w:rPr>
              <w:rFonts w:ascii="宋体" w:hAnsi="宋体"/>
              <w:sz w:val="24"/>
            </w:rPr>
            <w:fldChar w:fldCharType="end"/>
          </w:r>
          <w:r>
            <w:rPr>
              <w:rFonts w:ascii="宋体" w:hAnsi="宋体"/>
              <w:sz w:val="24"/>
            </w:rPr>
            <w:fldChar w:fldCharType="end"/>
          </w:r>
        </w:p>
        <w:p>
          <w:pPr>
            <w:pStyle w:val="8"/>
            <w:tabs>
              <w:tab w:val="right" w:leader="dot" w:pos="6142"/>
            </w:tabs>
            <w:spacing w:line="480" w:lineRule="auto"/>
            <w:rPr>
              <w:rFonts w:ascii="宋体" w:hAnsi="宋体"/>
              <w:sz w:val="24"/>
            </w:rPr>
          </w:pPr>
          <w:r>
            <w:fldChar w:fldCharType="begin"/>
          </w:r>
          <w:r>
            <w:instrText xml:space="preserve"> HYPERLINK \l "_Toc408843071" </w:instrText>
          </w:r>
          <w:r>
            <w:fldChar w:fldCharType="separate"/>
          </w:r>
          <w:r>
            <w:rPr>
              <w:rStyle w:val="11"/>
              <w:rFonts w:ascii="宋体" w:hAnsi="宋体"/>
              <w:sz w:val="24"/>
            </w:rPr>
            <w:t xml:space="preserve">3-1 </w:t>
          </w:r>
          <w:r>
            <w:rPr>
              <w:rStyle w:val="11"/>
              <w:rFonts w:hint="eastAsia" w:ascii="宋体" w:hAnsi="宋体"/>
              <w:sz w:val="24"/>
            </w:rPr>
            <w:t>产品结构</w:t>
          </w:r>
          <w:r>
            <w:rPr>
              <w:rFonts w:ascii="宋体" w:hAnsi="宋体"/>
              <w:sz w:val="24"/>
            </w:rPr>
            <w:tab/>
          </w:r>
          <w:r>
            <w:rPr>
              <w:rFonts w:ascii="宋体" w:hAnsi="宋体"/>
              <w:sz w:val="24"/>
            </w:rPr>
            <w:fldChar w:fldCharType="begin"/>
          </w:r>
          <w:r>
            <w:rPr>
              <w:rFonts w:ascii="宋体" w:hAnsi="宋体"/>
              <w:sz w:val="24"/>
            </w:rPr>
            <w:instrText xml:space="preserve"> PAGEREF _Toc408843071 \h </w:instrText>
          </w:r>
          <w:r>
            <w:rPr>
              <w:rFonts w:ascii="宋体" w:hAnsi="宋体"/>
              <w:sz w:val="24"/>
            </w:rPr>
            <w:fldChar w:fldCharType="separate"/>
          </w:r>
          <w:r>
            <w:rPr>
              <w:rFonts w:ascii="宋体" w:hAnsi="宋体"/>
              <w:sz w:val="24"/>
            </w:rPr>
            <w:t>5</w:t>
          </w:r>
          <w:r>
            <w:rPr>
              <w:rFonts w:ascii="宋体" w:hAnsi="宋体"/>
              <w:sz w:val="24"/>
            </w:rPr>
            <w:fldChar w:fldCharType="end"/>
          </w:r>
          <w:r>
            <w:rPr>
              <w:rFonts w:ascii="宋体" w:hAnsi="宋体"/>
              <w:sz w:val="24"/>
            </w:rPr>
            <w:fldChar w:fldCharType="end"/>
          </w:r>
        </w:p>
        <w:p>
          <w:pPr>
            <w:pStyle w:val="8"/>
            <w:tabs>
              <w:tab w:val="right" w:leader="dot" w:pos="6142"/>
            </w:tabs>
            <w:spacing w:line="480" w:lineRule="auto"/>
            <w:rPr>
              <w:rFonts w:ascii="宋体" w:hAnsi="宋体"/>
              <w:sz w:val="24"/>
            </w:rPr>
          </w:pPr>
          <w:r>
            <w:fldChar w:fldCharType="begin"/>
          </w:r>
          <w:r>
            <w:instrText xml:space="preserve"> HYPERLINK \l "_Toc408843072" </w:instrText>
          </w:r>
          <w:r>
            <w:fldChar w:fldCharType="separate"/>
          </w:r>
          <w:r>
            <w:rPr>
              <w:rStyle w:val="11"/>
              <w:rFonts w:ascii="宋体" w:hAnsi="宋体"/>
              <w:sz w:val="24"/>
            </w:rPr>
            <w:t>3-2</w:t>
          </w:r>
          <w:r>
            <w:rPr>
              <w:rStyle w:val="11"/>
              <w:rFonts w:hint="eastAsia" w:ascii="宋体" w:hAnsi="宋体"/>
              <w:sz w:val="24"/>
            </w:rPr>
            <w:t>产品外形尺寸示意图：</w:t>
          </w:r>
          <w:r>
            <w:rPr>
              <w:rFonts w:ascii="宋体" w:hAnsi="宋体"/>
              <w:sz w:val="24"/>
            </w:rPr>
            <w:tab/>
          </w:r>
          <w:r>
            <w:rPr>
              <w:rFonts w:ascii="宋体" w:hAnsi="宋体"/>
              <w:sz w:val="24"/>
            </w:rPr>
            <w:fldChar w:fldCharType="begin"/>
          </w:r>
          <w:r>
            <w:rPr>
              <w:rFonts w:ascii="宋体" w:hAnsi="宋体"/>
              <w:sz w:val="24"/>
            </w:rPr>
            <w:instrText xml:space="preserve"> PAGEREF _Toc408843072 \h </w:instrText>
          </w:r>
          <w:r>
            <w:rPr>
              <w:rFonts w:ascii="宋体" w:hAnsi="宋体"/>
              <w:sz w:val="24"/>
            </w:rPr>
            <w:fldChar w:fldCharType="separate"/>
          </w:r>
          <w:r>
            <w:rPr>
              <w:rFonts w:ascii="宋体" w:hAnsi="宋体"/>
              <w:sz w:val="24"/>
            </w:rPr>
            <w:t>6</w:t>
          </w:r>
          <w:r>
            <w:rPr>
              <w:rFonts w:ascii="宋体" w:hAnsi="宋体"/>
              <w:sz w:val="24"/>
            </w:rPr>
            <w:fldChar w:fldCharType="end"/>
          </w:r>
          <w:r>
            <w:rPr>
              <w:rFonts w:ascii="宋体" w:hAnsi="宋体"/>
              <w:sz w:val="24"/>
            </w:rPr>
            <w:fldChar w:fldCharType="end"/>
          </w:r>
        </w:p>
        <w:p>
          <w:pPr>
            <w:pStyle w:val="8"/>
            <w:tabs>
              <w:tab w:val="right" w:leader="dot" w:pos="6142"/>
            </w:tabs>
            <w:spacing w:line="480" w:lineRule="auto"/>
            <w:rPr>
              <w:rFonts w:ascii="宋体" w:hAnsi="宋体"/>
              <w:sz w:val="24"/>
            </w:rPr>
          </w:pPr>
          <w:r>
            <w:fldChar w:fldCharType="begin"/>
          </w:r>
          <w:r>
            <w:instrText xml:space="preserve"> HYPERLINK \l "_Toc408843073" </w:instrText>
          </w:r>
          <w:r>
            <w:fldChar w:fldCharType="separate"/>
          </w:r>
          <w:r>
            <w:rPr>
              <w:rStyle w:val="11"/>
              <w:rFonts w:ascii="宋体" w:hAnsi="宋体"/>
              <w:sz w:val="24"/>
            </w:rPr>
            <w:t xml:space="preserve">3-3 </w:t>
          </w:r>
          <w:r>
            <w:rPr>
              <w:rStyle w:val="11"/>
              <w:rFonts w:hint="eastAsia" w:ascii="宋体" w:hAnsi="宋体"/>
              <w:sz w:val="24"/>
            </w:rPr>
            <w:t>安装方式：</w:t>
          </w:r>
          <w:r>
            <w:rPr>
              <w:rFonts w:ascii="宋体" w:hAnsi="宋体"/>
              <w:sz w:val="24"/>
            </w:rPr>
            <w:tab/>
          </w:r>
          <w:r>
            <w:rPr>
              <w:rFonts w:ascii="宋体" w:hAnsi="宋体"/>
              <w:sz w:val="24"/>
            </w:rPr>
            <w:fldChar w:fldCharType="begin"/>
          </w:r>
          <w:r>
            <w:rPr>
              <w:rFonts w:ascii="宋体" w:hAnsi="宋体"/>
              <w:sz w:val="24"/>
            </w:rPr>
            <w:instrText xml:space="preserve"> PAGEREF _Toc408843073 \h </w:instrText>
          </w:r>
          <w:r>
            <w:rPr>
              <w:rFonts w:ascii="宋体" w:hAnsi="宋体"/>
              <w:sz w:val="24"/>
            </w:rPr>
            <w:fldChar w:fldCharType="separate"/>
          </w:r>
          <w:r>
            <w:rPr>
              <w:rFonts w:ascii="宋体" w:hAnsi="宋体"/>
              <w:sz w:val="24"/>
            </w:rPr>
            <w:t>6</w:t>
          </w:r>
          <w:r>
            <w:rPr>
              <w:rFonts w:ascii="宋体" w:hAnsi="宋体"/>
              <w:sz w:val="24"/>
            </w:rPr>
            <w:fldChar w:fldCharType="end"/>
          </w:r>
          <w:r>
            <w:rPr>
              <w:rFonts w:ascii="宋体" w:hAnsi="宋体"/>
              <w:sz w:val="24"/>
            </w:rPr>
            <w:fldChar w:fldCharType="end"/>
          </w:r>
        </w:p>
        <w:p>
          <w:pPr>
            <w:pStyle w:val="8"/>
            <w:tabs>
              <w:tab w:val="right" w:leader="dot" w:pos="6142"/>
            </w:tabs>
            <w:spacing w:line="480" w:lineRule="auto"/>
            <w:rPr>
              <w:rFonts w:ascii="宋体" w:hAnsi="宋体"/>
              <w:sz w:val="24"/>
            </w:rPr>
          </w:pPr>
          <w:r>
            <w:fldChar w:fldCharType="begin"/>
          </w:r>
          <w:r>
            <w:instrText xml:space="preserve"> HYPERLINK \l "_Toc408843074" </w:instrText>
          </w:r>
          <w:r>
            <w:fldChar w:fldCharType="separate"/>
          </w:r>
          <w:r>
            <w:rPr>
              <w:rStyle w:val="11"/>
              <w:rFonts w:ascii="宋体" w:hAnsi="宋体"/>
              <w:sz w:val="24"/>
            </w:rPr>
            <w:t xml:space="preserve">3-4 </w:t>
          </w:r>
          <w:r>
            <w:rPr>
              <w:rStyle w:val="11"/>
              <w:rFonts w:hint="eastAsia" w:ascii="宋体" w:hAnsi="宋体"/>
              <w:sz w:val="24"/>
            </w:rPr>
            <w:t>安装原则：</w:t>
          </w:r>
          <w:r>
            <w:rPr>
              <w:rFonts w:ascii="宋体" w:hAnsi="宋体"/>
              <w:sz w:val="24"/>
            </w:rPr>
            <w:tab/>
          </w:r>
          <w:r>
            <w:rPr>
              <w:rFonts w:ascii="宋体" w:hAnsi="宋体"/>
              <w:sz w:val="24"/>
            </w:rPr>
            <w:fldChar w:fldCharType="begin"/>
          </w:r>
          <w:r>
            <w:rPr>
              <w:rFonts w:ascii="宋体" w:hAnsi="宋体"/>
              <w:sz w:val="24"/>
            </w:rPr>
            <w:instrText xml:space="preserve"> PAGEREF _Toc408843074 \h </w:instrText>
          </w:r>
          <w:r>
            <w:rPr>
              <w:rFonts w:ascii="宋体" w:hAnsi="宋体"/>
              <w:sz w:val="24"/>
            </w:rPr>
            <w:fldChar w:fldCharType="separate"/>
          </w:r>
          <w:r>
            <w:rPr>
              <w:rFonts w:ascii="宋体" w:hAnsi="宋体"/>
              <w:sz w:val="24"/>
            </w:rPr>
            <w:t>7</w:t>
          </w:r>
          <w:r>
            <w:rPr>
              <w:rFonts w:ascii="宋体" w:hAnsi="宋体"/>
              <w:sz w:val="24"/>
            </w:rPr>
            <w:fldChar w:fldCharType="end"/>
          </w:r>
          <w:r>
            <w:rPr>
              <w:rFonts w:ascii="宋体" w:hAnsi="宋体"/>
              <w:sz w:val="24"/>
            </w:rPr>
            <w:fldChar w:fldCharType="end"/>
          </w:r>
        </w:p>
        <w:p>
          <w:pPr>
            <w:pStyle w:val="8"/>
            <w:tabs>
              <w:tab w:val="right" w:leader="dot" w:pos="6142"/>
            </w:tabs>
            <w:spacing w:line="480" w:lineRule="auto"/>
            <w:rPr>
              <w:rFonts w:ascii="宋体" w:hAnsi="宋体"/>
              <w:sz w:val="24"/>
            </w:rPr>
          </w:pPr>
          <w:r>
            <w:fldChar w:fldCharType="begin"/>
          </w:r>
          <w:r>
            <w:instrText xml:space="preserve"> HYPERLINK \l "_Toc408843075" </w:instrText>
          </w:r>
          <w:r>
            <w:fldChar w:fldCharType="separate"/>
          </w:r>
          <w:r>
            <w:rPr>
              <w:rStyle w:val="11"/>
              <w:rFonts w:ascii="宋体" w:hAnsi="宋体"/>
              <w:sz w:val="24"/>
            </w:rPr>
            <w:t xml:space="preserve">3-5 </w:t>
          </w:r>
          <w:r>
            <w:rPr>
              <w:rStyle w:val="11"/>
              <w:rFonts w:hint="eastAsia" w:ascii="宋体" w:hAnsi="宋体"/>
              <w:sz w:val="24"/>
            </w:rPr>
            <w:t>接线</w:t>
          </w:r>
          <w:r>
            <w:rPr>
              <w:rFonts w:ascii="宋体" w:hAnsi="宋体"/>
              <w:sz w:val="24"/>
            </w:rPr>
            <w:tab/>
          </w:r>
          <w:r>
            <w:rPr>
              <w:rFonts w:ascii="宋体" w:hAnsi="宋体"/>
              <w:sz w:val="24"/>
            </w:rPr>
            <w:fldChar w:fldCharType="begin"/>
          </w:r>
          <w:r>
            <w:rPr>
              <w:rFonts w:ascii="宋体" w:hAnsi="宋体"/>
              <w:sz w:val="24"/>
            </w:rPr>
            <w:instrText xml:space="preserve"> PAGEREF _Toc408843075 \h </w:instrText>
          </w:r>
          <w:r>
            <w:rPr>
              <w:rFonts w:ascii="宋体" w:hAnsi="宋体"/>
              <w:sz w:val="24"/>
            </w:rPr>
            <w:fldChar w:fldCharType="separate"/>
          </w:r>
          <w:r>
            <w:rPr>
              <w:rFonts w:ascii="宋体" w:hAnsi="宋体"/>
              <w:sz w:val="24"/>
            </w:rPr>
            <w:t>7</w:t>
          </w:r>
          <w:r>
            <w:rPr>
              <w:rFonts w:ascii="宋体" w:hAnsi="宋体"/>
              <w:sz w:val="24"/>
            </w:rPr>
            <w:fldChar w:fldCharType="end"/>
          </w:r>
          <w:r>
            <w:rPr>
              <w:rFonts w:ascii="宋体" w:hAnsi="宋体"/>
              <w:sz w:val="24"/>
            </w:rPr>
            <w:fldChar w:fldCharType="end"/>
          </w:r>
        </w:p>
        <w:p>
          <w:pPr>
            <w:pStyle w:val="7"/>
            <w:tabs>
              <w:tab w:val="left" w:pos="420"/>
              <w:tab w:val="right" w:leader="dot" w:pos="6142"/>
            </w:tabs>
            <w:spacing w:line="480" w:lineRule="auto"/>
            <w:rPr>
              <w:rFonts w:ascii="宋体" w:hAnsi="宋体"/>
              <w:sz w:val="24"/>
            </w:rPr>
          </w:pPr>
          <w:r>
            <w:fldChar w:fldCharType="begin"/>
          </w:r>
          <w:r>
            <w:instrText xml:space="preserve"> HYPERLINK \l "_Toc408843076" </w:instrText>
          </w:r>
          <w:r>
            <w:fldChar w:fldCharType="separate"/>
          </w:r>
          <w:r>
            <w:rPr>
              <w:rStyle w:val="11"/>
              <w:rFonts w:ascii="宋体" w:hAnsi="宋体"/>
              <w:sz w:val="24"/>
            </w:rPr>
            <w:t>4.</w:t>
          </w:r>
          <w:r>
            <w:rPr>
              <w:rFonts w:ascii="宋体" w:hAnsi="宋体"/>
              <w:sz w:val="24"/>
            </w:rPr>
            <w:tab/>
          </w:r>
          <w:r>
            <w:rPr>
              <w:rStyle w:val="11"/>
              <w:rFonts w:hint="eastAsia" w:ascii="宋体" w:hAnsi="宋体"/>
              <w:sz w:val="24"/>
            </w:rPr>
            <w:t>产品维护及注意事项</w:t>
          </w:r>
          <w:r>
            <w:rPr>
              <w:rFonts w:ascii="宋体" w:hAnsi="宋体"/>
              <w:sz w:val="24"/>
            </w:rPr>
            <w:tab/>
          </w:r>
          <w:r>
            <w:rPr>
              <w:rFonts w:ascii="宋体" w:hAnsi="宋体"/>
              <w:sz w:val="24"/>
            </w:rPr>
            <w:fldChar w:fldCharType="begin"/>
          </w:r>
          <w:r>
            <w:rPr>
              <w:rFonts w:ascii="宋体" w:hAnsi="宋体"/>
              <w:sz w:val="24"/>
            </w:rPr>
            <w:instrText xml:space="preserve"> PAGEREF _Toc408843076 \h </w:instrText>
          </w:r>
          <w:r>
            <w:rPr>
              <w:rFonts w:ascii="宋体" w:hAnsi="宋体"/>
              <w:sz w:val="24"/>
            </w:rPr>
            <w:fldChar w:fldCharType="separate"/>
          </w:r>
          <w:r>
            <w:rPr>
              <w:rFonts w:ascii="宋体" w:hAnsi="宋体"/>
              <w:sz w:val="24"/>
            </w:rPr>
            <w:t>8</w:t>
          </w:r>
          <w:r>
            <w:rPr>
              <w:rFonts w:ascii="宋体" w:hAnsi="宋体"/>
              <w:sz w:val="24"/>
            </w:rPr>
            <w:fldChar w:fldCharType="end"/>
          </w:r>
          <w:r>
            <w:rPr>
              <w:rFonts w:ascii="宋体" w:hAnsi="宋体"/>
              <w:sz w:val="24"/>
            </w:rPr>
            <w:fldChar w:fldCharType="end"/>
          </w:r>
        </w:p>
        <w:p>
          <w:pPr>
            <w:pStyle w:val="7"/>
            <w:tabs>
              <w:tab w:val="left" w:pos="420"/>
              <w:tab w:val="right" w:leader="dot" w:pos="6142"/>
            </w:tabs>
            <w:spacing w:line="480" w:lineRule="auto"/>
            <w:rPr>
              <w:rFonts w:ascii="宋体" w:hAnsi="宋体"/>
              <w:sz w:val="24"/>
            </w:rPr>
          </w:pPr>
          <w:r>
            <w:fldChar w:fldCharType="begin"/>
          </w:r>
          <w:r>
            <w:instrText xml:space="preserve"> HYPERLINK \l "_Toc408843077" </w:instrText>
          </w:r>
          <w:r>
            <w:fldChar w:fldCharType="separate"/>
          </w:r>
          <w:r>
            <w:rPr>
              <w:rStyle w:val="11"/>
              <w:rFonts w:ascii="宋体" w:hAnsi="宋体"/>
              <w:sz w:val="24"/>
            </w:rPr>
            <w:t>5.</w:t>
          </w:r>
          <w:r>
            <w:rPr>
              <w:rFonts w:ascii="宋体" w:hAnsi="宋体"/>
              <w:sz w:val="24"/>
            </w:rPr>
            <w:tab/>
          </w:r>
          <w:r>
            <w:rPr>
              <w:rStyle w:val="11"/>
              <w:rFonts w:hint="eastAsia" w:ascii="宋体" w:hAnsi="宋体"/>
              <w:sz w:val="24"/>
            </w:rPr>
            <w:t>故障排除</w:t>
          </w:r>
          <w:r>
            <w:rPr>
              <w:rFonts w:ascii="宋体" w:hAnsi="宋体"/>
              <w:sz w:val="24"/>
            </w:rPr>
            <w:tab/>
          </w:r>
          <w:r>
            <w:rPr>
              <w:rFonts w:ascii="宋体" w:hAnsi="宋体"/>
              <w:sz w:val="24"/>
            </w:rPr>
            <w:fldChar w:fldCharType="begin"/>
          </w:r>
          <w:r>
            <w:rPr>
              <w:rFonts w:ascii="宋体" w:hAnsi="宋体"/>
              <w:sz w:val="24"/>
            </w:rPr>
            <w:instrText xml:space="preserve"> PAGEREF _Toc408843077 \h </w:instrText>
          </w:r>
          <w:r>
            <w:rPr>
              <w:rFonts w:ascii="宋体" w:hAnsi="宋体"/>
              <w:sz w:val="24"/>
            </w:rPr>
            <w:fldChar w:fldCharType="separate"/>
          </w:r>
          <w:r>
            <w:rPr>
              <w:rFonts w:ascii="宋体" w:hAnsi="宋体"/>
              <w:sz w:val="24"/>
            </w:rPr>
            <w:t>8</w:t>
          </w:r>
          <w:r>
            <w:rPr>
              <w:rFonts w:ascii="宋体" w:hAnsi="宋体"/>
              <w:sz w:val="24"/>
            </w:rPr>
            <w:fldChar w:fldCharType="end"/>
          </w:r>
          <w:r>
            <w:rPr>
              <w:rFonts w:ascii="宋体" w:hAnsi="宋体"/>
              <w:sz w:val="24"/>
            </w:rPr>
            <w:fldChar w:fldCharType="end"/>
          </w:r>
        </w:p>
        <w:p>
          <w:pPr>
            <w:pStyle w:val="7"/>
            <w:tabs>
              <w:tab w:val="left" w:pos="420"/>
              <w:tab w:val="right" w:leader="dot" w:pos="6142"/>
            </w:tabs>
            <w:spacing w:line="480" w:lineRule="auto"/>
            <w:rPr>
              <w:rFonts w:ascii="宋体" w:hAnsi="宋体"/>
              <w:sz w:val="24"/>
            </w:rPr>
          </w:pPr>
          <w:r>
            <w:fldChar w:fldCharType="begin"/>
          </w:r>
          <w:r>
            <w:instrText xml:space="preserve"> HYPERLINK \l "_Toc408843078" </w:instrText>
          </w:r>
          <w:r>
            <w:fldChar w:fldCharType="separate"/>
          </w:r>
          <w:r>
            <w:rPr>
              <w:rStyle w:val="11"/>
              <w:rFonts w:ascii="宋体" w:hAnsi="宋体"/>
              <w:sz w:val="24"/>
            </w:rPr>
            <w:t>6.</w:t>
          </w:r>
          <w:r>
            <w:rPr>
              <w:rFonts w:ascii="宋体" w:hAnsi="宋体"/>
              <w:sz w:val="24"/>
            </w:rPr>
            <w:tab/>
          </w:r>
          <w:r>
            <w:rPr>
              <w:rStyle w:val="11"/>
              <w:rFonts w:hint="eastAsia" w:ascii="宋体" w:hAnsi="宋体"/>
              <w:sz w:val="24"/>
            </w:rPr>
            <w:t>可更换元件一览表</w:t>
          </w:r>
          <w:r>
            <w:rPr>
              <w:rFonts w:ascii="宋体" w:hAnsi="宋体"/>
              <w:sz w:val="24"/>
            </w:rPr>
            <w:tab/>
          </w:r>
          <w:r>
            <w:rPr>
              <w:rFonts w:ascii="宋体" w:hAnsi="宋体"/>
              <w:sz w:val="24"/>
            </w:rPr>
            <w:fldChar w:fldCharType="begin"/>
          </w:r>
          <w:r>
            <w:rPr>
              <w:rFonts w:ascii="宋体" w:hAnsi="宋体"/>
              <w:sz w:val="24"/>
            </w:rPr>
            <w:instrText xml:space="preserve"> PAGEREF _Toc408843078 \h </w:instrText>
          </w:r>
          <w:r>
            <w:rPr>
              <w:rFonts w:ascii="宋体" w:hAnsi="宋体"/>
              <w:sz w:val="24"/>
            </w:rPr>
            <w:fldChar w:fldCharType="separate"/>
          </w:r>
          <w:r>
            <w:rPr>
              <w:rFonts w:ascii="宋体" w:hAnsi="宋体"/>
              <w:sz w:val="24"/>
            </w:rPr>
            <w:t>9</w:t>
          </w:r>
          <w:r>
            <w:rPr>
              <w:rFonts w:ascii="宋体" w:hAnsi="宋体"/>
              <w:sz w:val="24"/>
            </w:rPr>
            <w:fldChar w:fldCharType="end"/>
          </w:r>
          <w:r>
            <w:rPr>
              <w:rFonts w:ascii="宋体" w:hAnsi="宋体"/>
              <w:sz w:val="24"/>
            </w:rPr>
            <w:fldChar w:fldCharType="end"/>
          </w:r>
        </w:p>
        <w:p>
          <w:pPr>
            <w:pStyle w:val="7"/>
            <w:tabs>
              <w:tab w:val="left" w:pos="420"/>
              <w:tab w:val="right" w:leader="dot" w:pos="6142"/>
            </w:tabs>
            <w:spacing w:line="480" w:lineRule="auto"/>
            <w:rPr>
              <w:rFonts w:ascii="宋体" w:hAnsi="宋体"/>
              <w:szCs w:val="21"/>
            </w:rPr>
          </w:pPr>
          <w:r>
            <w:fldChar w:fldCharType="begin"/>
          </w:r>
          <w:r>
            <w:instrText xml:space="preserve"> HYPERLINK \l "_Toc408843079" </w:instrText>
          </w:r>
          <w:r>
            <w:fldChar w:fldCharType="separate"/>
          </w:r>
          <w:r>
            <w:rPr>
              <w:rStyle w:val="11"/>
              <w:rFonts w:ascii="宋体" w:hAnsi="宋体"/>
              <w:sz w:val="24"/>
            </w:rPr>
            <w:t>7.</w:t>
          </w:r>
          <w:r>
            <w:rPr>
              <w:rFonts w:ascii="宋体" w:hAnsi="宋体"/>
              <w:sz w:val="24"/>
            </w:rPr>
            <w:tab/>
          </w:r>
          <w:r>
            <w:rPr>
              <w:rStyle w:val="11"/>
              <w:rFonts w:hint="eastAsia" w:ascii="宋体" w:hAnsi="宋体"/>
              <w:sz w:val="24"/>
            </w:rPr>
            <w:t>售后</w:t>
          </w:r>
          <w:r>
            <w:rPr>
              <w:rFonts w:ascii="宋体" w:hAnsi="宋体"/>
              <w:sz w:val="24"/>
            </w:rPr>
            <w:tab/>
          </w:r>
          <w:r>
            <w:rPr>
              <w:rFonts w:ascii="宋体" w:hAnsi="宋体"/>
              <w:sz w:val="24"/>
            </w:rPr>
            <w:fldChar w:fldCharType="begin"/>
          </w:r>
          <w:r>
            <w:rPr>
              <w:rFonts w:ascii="宋体" w:hAnsi="宋体"/>
              <w:sz w:val="24"/>
            </w:rPr>
            <w:instrText xml:space="preserve"> PAGEREF _Toc408843079 \h </w:instrText>
          </w:r>
          <w:r>
            <w:rPr>
              <w:rFonts w:ascii="宋体" w:hAnsi="宋体"/>
              <w:sz w:val="24"/>
            </w:rPr>
            <w:fldChar w:fldCharType="separate"/>
          </w:r>
          <w:r>
            <w:rPr>
              <w:rFonts w:ascii="宋体" w:hAnsi="宋体"/>
              <w:sz w:val="24"/>
            </w:rPr>
            <w:t>9</w:t>
          </w:r>
          <w:r>
            <w:rPr>
              <w:rFonts w:ascii="宋体" w:hAnsi="宋体"/>
              <w:sz w:val="24"/>
            </w:rPr>
            <w:fldChar w:fldCharType="end"/>
          </w:r>
          <w:r>
            <w:rPr>
              <w:rFonts w:ascii="宋体" w:hAnsi="宋体"/>
              <w:sz w:val="24"/>
            </w:rPr>
            <w:fldChar w:fldCharType="end"/>
          </w:r>
        </w:p>
        <w:p>
          <w:pPr>
            <w:spacing w:line="480" w:lineRule="auto"/>
          </w:pPr>
          <w:r>
            <w:rPr>
              <w:rFonts w:ascii="宋体" w:hAnsi="宋体"/>
              <w:szCs w:val="21"/>
            </w:rPr>
            <w:fldChar w:fldCharType="end"/>
          </w:r>
        </w:p>
      </w:sdtContent>
    </w:sdt>
    <w:p>
      <w:pPr>
        <w:spacing w:line="360" w:lineRule="exact"/>
        <w:jc w:val="left"/>
        <w:rPr>
          <w:rFonts w:ascii="宋体" w:hAnsi="宋体"/>
          <w:b/>
          <w:sz w:val="24"/>
        </w:rPr>
      </w:pPr>
    </w:p>
    <w:p>
      <w:pPr>
        <w:spacing w:line="360" w:lineRule="exact"/>
        <w:jc w:val="left"/>
        <w:rPr>
          <w:rFonts w:ascii="宋体" w:hAnsi="宋体"/>
          <w:b/>
          <w:sz w:val="24"/>
        </w:rPr>
      </w:pPr>
    </w:p>
    <w:p>
      <w:pPr>
        <w:spacing w:line="360" w:lineRule="exact"/>
        <w:jc w:val="left"/>
        <w:rPr>
          <w:rFonts w:ascii="宋体" w:hAnsi="宋体"/>
          <w:b/>
          <w:sz w:val="24"/>
        </w:rPr>
      </w:pPr>
    </w:p>
    <w:p>
      <w:pPr>
        <w:spacing w:line="360" w:lineRule="exact"/>
        <w:jc w:val="left"/>
        <w:rPr>
          <w:rFonts w:ascii="宋体" w:hAnsi="宋体"/>
          <w:b/>
          <w:sz w:val="24"/>
        </w:rPr>
      </w:pPr>
    </w:p>
    <w:p>
      <w:pPr>
        <w:pStyle w:val="2"/>
        <w:spacing w:line="240" w:lineRule="auto"/>
      </w:pPr>
      <w:bookmarkStart w:id="0" w:name="_Toc408843068"/>
      <w:r>
        <w:rPr>
          <w:rFonts w:hint="eastAsia"/>
        </w:rPr>
        <w:t>概  述：</w:t>
      </w:r>
      <w:bookmarkEnd w:id="0"/>
    </w:p>
    <w:p>
      <w:pPr>
        <w:spacing w:line="240" w:lineRule="auto"/>
        <w:ind w:firstLine="420" w:firstLineChars="200"/>
      </w:pPr>
      <w:r>
        <w:rPr>
          <w:rFonts w:hint="eastAsia"/>
          <w:lang w:val="en-US" w:eastAsia="zh-CN"/>
        </w:rPr>
        <w:t>DN-T3OOOAS</w:t>
      </w:r>
      <w:r>
        <w:rPr>
          <w:rFonts w:hint="eastAsia"/>
        </w:rPr>
        <w:t>型测量范围为0</w:t>
      </w:r>
      <w:r>
        <w:rPr>
          <w:rFonts w:hint="eastAsia" w:ascii="宋体" w:hAnsi="宋体"/>
        </w:rPr>
        <w:t>～</w:t>
      </w:r>
      <w:r>
        <w:rPr>
          <w:rFonts w:hint="eastAsia"/>
        </w:rPr>
        <w:t>100%LEL的点型可燃气体探测器，以下简称为探测器。</w:t>
      </w:r>
    </w:p>
    <w:p>
      <w:pPr>
        <w:spacing w:line="240" w:lineRule="auto"/>
        <w:ind w:firstLine="420" w:firstLineChars="200"/>
      </w:pPr>
      <w:r>
        <w:rPr>
          <w:rFonts w:hint="eastAsia"/>
        </w:rPr>
        <w:t>该探测器能够对工业环境下爆炸下限范围内的可燃气体进行连续监测，并将气体浓度及系统信息转变为数字信号，然后传输给气体报警控制器系统，进行识别、显示及处理。</w:t>
      </w:r>
    </w:p>
    <w:p>
      <w:pPr>
        <w:spacing w:line="240" w:lineRule="auto"/>
        <w:ind w:firstLine="420" w:firstLineChars="200"/>
      </w:pPr>
      <w:r>
        <w:rPr>
          <w:rFonts w:hint="eastAsia"/>
        </w:rPr>
        <w:t>探测器采用先进的传感器，性能稳定，灵敏度高；</w:t>
      </w:r>
    </w:p>
    <w:p>
      <w:pPr>
        <w:spacing w:line="240" w:lineRule="auto"/>
        <w:ind w:firstLine="420" w:firstLineChars="200"/>
      </w:pPr>
      <w:r>
        <w:rPr>
          <w:rFonts w:hint="eastAsia"/>
        </w:rPr>
        <w:t>抗中毒性好，抗干扰能力强；</w:t>
      </w:r>
    </w:p>
    <w:p>
      <w:pPr>
        <w:spacing w:line="240" w:lineRule="auto"/>
        <w:ind w:firstLine="420" w:firstLineChars="200"/>
      </w:pPr>
      <w:r>
        <w:rPr>
          <w:rFonts w:hint="eastAsia"/>
        </w:rPr>
        <w:t>体积小、功耗小、节能；</w:t>
      </w:r>
    </w:p>
    <w:p>
      <w:pPr>
        <w:spacing w:line="240" w:lineRule="auto"/>
        <w:ind w:firstLine="420" w:firstLineChars="200"/>
      </w:pPr>
      <w:r>
        <w:rPr>
          <w:rFonts w:hint="eastAsia"/>
          <w:lang w:eastAsia="zh-CN"/>
        </w:rPr>
        <w:t>三</w:t>
      </w:r>
      <w:r>
        <w:rPr>
          <w:rFonts w:hint="eastAsia"/>
        </w:rPr>
        <w:t>线信号传输，安装简便快捷；</w:t>
      </w:r>
    </w:p>
    <w:p>
      <w:pPr>
        <w:spacing w:line="240" w:lineRule="auto"/>
        <w:ind w:firstLine="420" w:firstLineChars="200"/>
      </w:pPr>
      <w:r>
        <w:rPr>
          <w:rFonts w:hint="eastAsia"/>
        </w:rPr>
        <w:t>LED可显示探测器的状态。</w:t>
      </w:r>
    </w:p>
    <w:p>
      <w:pPr>
        <w:spacing w:line="240" w:lineRule="auto"/>
        <w:rPr>
          <w:b/>
        </w:rPr>
      </w:pPr>
      <w:r>
        <w:rPr>
          <w:rFonts w:hint="eastAsia"/>
          <w:b/>
        </w:rPr>
        <w:t>本产品设计、制造、检定遵守以下国家标准、检定规程：</w:t>
      </w:r>
    </w:p>
    <w:p>
      <w:pPr>
        <w:spacing w:line="240" w:lineRule="auto"/>
      </w:pPr>
      <w:r>
        <w:t>GB</w:t>
      </w:r>
      <w:r>
        <w:rPr>
          <w:rFonts w:hint="eastAsia"/>
        </w:rPr>
        <w:t>15322.1-2003 《可燃气体探测器 测量范围为0</w:t>
      </w:r>
      <w:r>
        <w:rPr>
          <w:rFonts w:hint="eastAsia" w:ascii="宋体" w:hAnsi="宋体"/>
        </w:rPr>
        <w:t>～</w:t>
      </w:r>
      <w:r>
        <w:rPr>
          <w:rFonts w:hint="eastAsia"/>
        </w:rPr>
        <w:t>100%LEL的点型可燃气体探测器》</w:t>
      </w:r>
    </w:p>
    <w:p>
      <w:pPr>
        <w:spacing w:line="240" w:lineRule="auto"/>
        <w:rPr>
          <w:b/>
        </w:rPr>
      </w:pPr>
      <w:r>
        <w:rPr>
          <w:rFonts w:hint="eastAsia"/>
        </w:rPr>
        <w:t>JJG693-2011 《可燃气体检测报警器 计量检定规程》</w:t>
      </w:r>
    </w:p>
    <w:p>
      <w:pPr>
        <w:pStyle w:val="2"/>
        <w:spacing w:line="240" w:lineRule="auto"/>
      </w:pPr>
      <w:bookmarkStart w:id="1" w:name="_Toc408843069"/>
      <w:r>
        <w:rPr>
          <w:rFonts w:hint="eastAsia"/>
        </w:rPr>
        <w:t>主要技术参数：</w:t>
      </w:r>
      <w:bookmarkEnd w:id="1"/>
    </w:p>
    <w:tbl>
      <w:tblPr>
        <w:tblStyle w:val="12"/>
        <w:tblW w:w="6738" w:type="dxa"/>
        <w:tblInd w:w="0" w:type="dxa"/>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
      <w:tblGrid>
        <w:gridCol w:w="1563"/>
        <w:gridCol w:w="1802"/>
        <w:gridCol w:w="1416"/>
        <w:gridCol w:w="1957"/>
      </w:tblGrid>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336" w:hRule="atLeast"/>
        </w:trPr>
        <w:tc>
          <w:tcPr>
            <w:tcW w:w="1563"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工作电压</w:t>
            </w:r>
          </w:p>
        </w:tc>
        <w:tc>
          <w:tcPr>
            <w:tcW w:w="1802"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sz w:val="18"/>
                <w:szCs w:val="18"/>
              </w:rPr>
            </w:pPr>
            <w:r>
              <w:rPr>
                <w:rFonts w:hint="eastAsia" w:asciiTheme="minorEastAsia" w:hAnsiTheme="minorEastAsia" w:eastAsiaTheme="minorEastAsia"/>
                <w:sz w:val="18"/>
                <w:szCs w:val="18"/>
              </w:rPr>
              <w:t>DC18-36V</w:t>
            </w:r>
          </w:p>
        </w:tc>
        <w:tc>
          <w:tcPr>
            <w:tcW w:w="1416"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通讯方式</w:t>
            </w:r>
          </w:p>
        </w:tc>
        <w:tc>
          <w:tcPr>
            <w:tcW w:w="1957"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sz w:val="18"/>
                <w:szCs w:val="18"/>
              </w:rPr>
            </w:pPr>
            <w:r>
              <w:rPr>
                <w:rFonts w:hint="eastAsia" w:asciiTheme="minorEastAsia" w:hAnsiTheme="minorEastAsia" w:eastAsiaTheme="minorEastAsia"/>
                <w:sz w:val="18"/>
                <w:szCs w:val="18"/>
                <w:lang w:eastAsia="zh-CN"/>
              </w:rPr>
              <w:t>三线制</w:t>
            </w:r>
            <w:r>
              <w:rPr>
                <w:rFonts w:hint="eastAsia" w:asciiTheme="minorEastAsia" w:hAnsiTheme="minorEastAsia" w:eastAsiaTheme="minorEastAsia"/>
                <w:sz w:val="18"/>
                <w:szCs w:val="18"/>
              </w:rPr>
              <w:t xml:space="preserve">线 </w:t>
            </w:r>
            <w:r>
              <w:rPr>
                <w:rFonts w:hint="eastAsia" w:asciiTheme="minorEastAsia" w:hAnsiTheme="minorEastAsia" w:eastAsiaTheme="minorEastAsia"/>
                <w:sz w:val="18"/>
                <w:szCs w:val="18"/>
                <w:lang w:val="en-US" w:eastAsia="zh-CN"/>
              </w:rPr>
              <w:t>P</w:t>
            </w:r>
            <w:r>
              <w:rPr>
                <w:rFonts w:hint="eastAsia" w:asciiTheme="minorEastAsia" w:hAnsiTheme="minorEastAsia" w:eastAsiaTheme="minorEastAsia"/>
                <w:sz w:val="18"/>
                <w:szCs w:val="18"/>
              </w:rPr>
              <w:t>+/</w:t>
            </w:r>
            <w:r>
              <w:rPr>
                <w:rFonts w:hint="eastAsia" w:asciiTheme="minorEastAsia" w:hAnsiTheme="minorEastAsia" w:eastAsiaTheme="minorEastAsia"/>
                <w:sz w:val="18"/>
                <w:szCs w:val="18"/>
                <w:lang w:val="en-US" w:eastAsia="zh-CN"/>
              </w:rPr>
              <w:t>P</w:t>
            </w:r>
            <w:r>
              <w:rPr>
                <w:rFonts w:hint="eastAsia" w:asciiTheme="minorEastAsia" w:hAnsiTheme="minorEastAsia" w:eastAsiaTheme="minorEastAsia"/>
                <w:sz w:val="18"/>
                <w:szCs w:val="18"/>
              </w:rPr>
              <w:t>-</w:t>
            </w:r>
            <w:r>
              <w:rPr>
                <w:rFonts w:hint="eastAsia" w:asciiTheme="minorEastAsia" w:hAnsiTheme="minorEastAsia" w:eastAsiaTheme="minorEastAsia"/>
                <w:sz w:val="18"/>
                <w:szCs w:val="18"/>
                <w:lang w:val="en-US" w:eastAsia="zh-CN"/>
              </w:rPr>
              <w:t>/Sin</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336" w:hRule="atLeast"/>
        </w:trPr>
        <w:tc>
          <w:tcPr>
            <w:tcW w:w="1563"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检测气体</w:t>
            </w:r>
          </w:p>
        </w:tc>
        <w:tc>
          <w:tcPr>
            <w:tcW w:w="1802"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sz w:val="18"/>
                <w:szCs w:val="18"/>
              </w:rPr>
            </w:pPr>
            <w:r>
              <w:rPr>
                <w:rFonts w:hint="eastAsia" w:asciiTheme="minorEastAsia" w:hAnsiTheme="minorEastAsia" w:eastAsiaTheme="minorEastAsia"/>
                <w:sz w:val="18"/>
                <w:szCs w:val="18"/>
              </w:rPr>
              <w:t>甲烷</w:t>
            </w:r>
          </w:p>
        </w:tc>
        <w:tc>
          <w:tcPr>
            <w:tcW w:w="1416"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检测原理</w:t>
            </w:r>
          </w:p>
        </w:tc>
        <w:tc>
          <w:tcPr>
            <w:tcW w:w="1957"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sz w:val="18"/>
                <w:szCs w:val="18"/>
              </w:rPr>
            </w:pPr>
            <w:r>
              <w:rPr>
                <w:rFonts w:hint="eastAsia" w:asciiTheme="minorEastAsia" w:hAnsiTheme="minorEastAsia" w:eastAsiaTheme="minorEastAsia"/>
                <w:sz w:val="18"/>
                <w:szCs w:val="18"/>
              </w:rPr>
              <w:t>催化燃烧式</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336" w:hRule="atLeast"/>
        </w:trPr>
        <w:tc>
          <w:tcPr>
            <w:tcW w:w="1563"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采样方式</w:t>
            </w:r>
          </w:p>
        </w:tc>
        <w:tc>
          <w:tcPr>
            <w:tcW w:w="1802"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sz w:val="18"/>
                <w:szCs w:val="18"/>
              </w:rPr>
            </w:pPr>
            <w:r>
              <w:rPr>
                <w:rFonts w:hint="eastAsia" w:asciiTheme="minorEastAsia" w:hAnsiTheme="minorEastAsia" w:eastAsiaTheme="minorEastAsia"/>
                <w:sz w:val="18"/>
                <w:szCs w:val="18"/>
              </w:rPr>
              <w:t>自由扩散式</w:t>
            </w:r>
          </w:p>
        </w:tc>
        <w:tc>
          <w:tcPr>
            <w:tcW w:w="1416"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显示方式</w:t>
            </w:r>
          </w:p>
        </w:tc>
        <w:tc>
          <w:tcPr>
            <w:tcW w:w="1957" w:type="dxa"/>
            <w:shd w:val="clear" w:color="auto" w:fill="auto"/>
          </w:tcPr>
          <w:p>
            <w:pPr>
              <w:keepNext w:val="0"/>
              <w:keepLines w:val="0"/>
              <w:suppressLineNumbers w:val="0"/>
              <w:spacing w:before="0" w:beforeAutospacing="0" w:after="0" w:afterAutospacing="0" w:line="240" w:lineRule="auto"/>
              <w:ind w:left="0" w:right="0"/>
              <w:jc w:val="both"/>
              <w:rPr>
                <w:rFonts w:hint="default" w:asciiTheme="minorEastAsia" w:hAnsiTheme="minorEastAsia" w:eastAsiaTheme="minorEastAsia"/>
                <w:sz w:val="18"/>
                <w:szCs w:val="18"/>
                <w:highlight w:val="none"/>
              </w:rPr>
            </w:pPr>
            <w:r>
              <w:rPr>
                <w:rFonts w:hint="eastAsia"/>
                <w:sz w:val="18"/>
                <w:szCs w:val="18"/>
              </w:rPr>
              <w:t>LED</w:t>
            </w:r>
            <w:r>
              <w:rPr>
                <w:rFonts w:hint="eastAsia"/>
                <w:sz w:val="18"/>
                <w:szCs w:val="18"/>
                <w:lang w:eastAsia="zh-CN"/>
              </w:rPr>
              <w:t>数码</w:t>
            </w:r>
            <w:r>
              <w:rPr>
                <w:rFonts w:hint="eastAsia" w:asciiTheme="minorEastAsia" w:hAnsiTheme="minorEastAsia" w:eastAsiaTheme="minorEastAsia"/>
                <w:sz w:val="18"/>
                <w:szCs w:val="18"/>
                <w:highlight w:val="none"/>
              </w:rPr>
              <w:t>显示</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336" w:hRule="atLeast"/>
        </w:trPr>
        <w:tc>
          <w:tcPr>
            <w:tcW w:w="1563"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误    差</w:t>
            </w:r>
          </w:p>
        </w:tc>
        <w:tc>
          <w:tcPr>
            <w:tcW w:w="1802"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sz w:val="18"/>
                <w:szCs w:val="18"/>
              </w:rPr>
            </w:pPr>
            <w:r>
              <w:rPr>
                <w:rFonts w:hint="eastAsia" w:asciiTheme="minorEastAsia" w:hAnsiTheme="minorEastAsia" w:eastAsiaTheme="minorEastAsia"/>
                <w:sz w:val="18"/>
                <w:szCs w:val="18"/>
              </w:rPr>
              <w:t>±3%LEL</w:t>
            </w:r>
          </w:p>
        </w:tc>
        <w:tc>
          <w:tcPr>
            <w:tcW w:w="1416"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精    度</w:t>
            </w:r>
          </w:p>
        </w:tc>
        <w:tc>
          <w:tcPr>
            <w:tcW w:w="1957"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sz w:val="18"/>
                <w:szCs w:val="18"/>
              </w:rPr>
            </w:pPr>
            <w:r>
              <w:rPr>
                <w:rFonts w:hint="eastAsia" w:asciiTheme="minorEastAsia" w:hAnsiTheme="minorEastAsia" w:eastAsiaTheme="minorEastAsia"/>
                <w:sz w:val="18"/>
                <w:szCs w:val="18"/>
              </w:rPr>
              <w:t>1%LEL</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336" w:hRule="atLeast"/>
        </w:trPr>
        <w:tc>
          <w:tcPr>
            <w:tcW w:w="1563"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测量范围</w:t>
            </w:r>
          </w:p>
        </w:tc>
        <w:tc>
          <w:tcPr>
            <w:tcW w:w="5175" w:type="dxa"/>
            <w:gridSpan w:val="3"/>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sz w:val="18"/>
                <w:szCs w:val="18"/>
              </w:rPr>
            </w:pPr>
            <w:r>
              <w:rPr>
                <w:rFonts w:hint="eastAsia" w:asciiTheme="minorEastAsia" w:hAnsiTheme="minorEastAsia" w:eastAsiaTheme="minorEastAsia"/>
                <w:sz w:val="18"/>
                <w:szCs w:val="18"/>
              </w:rPr>
              <w:t>（0～100）%LEL</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336" w:hRule="atLeast"/>
        </w:trPr>
        <w:tc>
          <w:tcPr>
            <w:tcW w:w="1563"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报 警 点</w:t>
            </w:r>
          </w:p>
        </w:tc>
        <w:tc>
          <w:tcPr>
            <w:tcW w:w="5175" w:type="dxa"/>
            <w:gridSpan w:val="3"/>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sz w:val="18"/>
                <w:szCs w:val="18"/>
              </w:rPr>
            </w:pPr>
            <w:r>
              <w:rPr>
                <w:rFonts w:hint="eastAsia" w:asciiTheme="minorEastAsia" w:hAnsiTheme="minorEastAsia" w:eastAsiaTheme="minorEastAsia"/>
                <w:sz w:val="18"/>
                <w:szCs w:val="18"/>
              </w:rPr>
              <w:t>25%LEL</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336" w:hRule="atLeast"/>
        </w:trPr>
        <w:tc>
          <w:tcPr>
            <w:tcW w:w="1563"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报警方式</w:t>
            </w:r>
          </w:p>
        </w:tc>
        <w:tc>
          <w:tcPr>
            <w:tcW w:w="5175" w:type="dxa"/>
            <w:gridSpan w:val="3"/>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sz w:val="18"/>
                <w:szCs w:val="18"/>
              </w:rPr>
            </w:pPr>
            <w:r>
              <w:rPr>
                <w:rFonts w:hint="eastAsia" w:ascii="宋体" w:hAnsi="宋体"/>
                <w:sz w:val="18"/>
                <w:szCs w:val="21"/>
              </w:rPr>
              <w:t>光报警</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336" w:hRule="atLeast"/>
        </w:trPr>
        <w:tc>
          <w:tcPr>
            <w:tcW w:w="1563"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相应时间</w:t>
            </w:r>
          </w:p>
        </w:tc>
        <w:tc>
          <w:tcPr>
            <w:tcW w:w="5175" w:type="dxa"/>
            <w:gridSpan w:val="3"/>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sz w:val="18"/>
                <w:szCs w:val="18"/>
              </w:rPr>
            </w:pPr>
            <w:r>
              <w:rPr>
                <w:rFonts w:hint="eastAsia" w:asciiTheme="minorEastAsia" w:hAnsiTheme="minorEastAsia" w:eastAsiaTheme="minorEastAsia"/>
                <w:sz w:val="18"/>
                <w:szCs w:val="18"/>
              </w:rPr>
              <w:t>≤30s</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336" w:hRule="atLeast"/>
        </w:trPr>
        <w:tc>
          <w:tcPr>
            <w:tcW w:w="1563"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防爆等级</w:t>
            </w:r>
          </w:p>
        </w:tc>
        <w:tc>
          <w:tcPr>
            <w:tcW w:w="5175" w:type="dxa"/>
            <w:gridSpan w:val="3"/>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sz w:val="18"/>
                <w:szCs w:val="18"/>
              </w:rPr>
            </w:pPr>
            <w:r>
              <w:rPr>
                <w:rFonts w:hint="eastAsia" w:asciiTheme="minorEastAsia" w:hAnsiTheme="minorEastAsia" w:eastAsiaTheme="minorEastAsia"/>
                <w:sz w:val="18"/>
                <w:szCs w:val="18"/>
              </w:rPr>
              <w:t>EXdIICT6</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336" w:hRule="atLeast"/>
        </w:trPr>
        <w:tc>
          <w:tcPr>
            <w:tcW w:w="1563"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工作环境</w:t>
            </w:r>
          </w:p>
        </w:tc>
        <w:tc>
          <w:tcPr>
            <w:tcW w:w="5175" w:type="dxa"/>
            <w:gridSpan w:val="3"/>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sz w:val="18"/>
                <w:szCs w:val="18"/>
              </w:rPr>
            </w:pPr>
            <w:r>
              <w:rPr>
                <w:rFonts w:hint="eastAsia" w:asciiTheme="minorEastAsia" w:hAnsiTheme="minorEastAsia" w:eastAsiaTheme="minorEastAsia"/>
                <w:sz w:val="18"/>
                <w:szCs w:val="18"/>
              </w:rPr>
              <w:t>温度： -40℃～70℃；湿度：≤93%RH无结霜</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336" w:hRule="atLeast"/>
        </w:trPr>
        <w:tc>
          <w:tcPr>
            <w:tcW w:w="1563"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安装方式</w:t>
            </w:r>
          </w:p>
        </w:tc>
        <w:tc>
          <w:tcPr>
            <w:tcW w:w="5175" w:type="dxa"/>
            <w:gridSpan w:val="3"/>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sz w:val="18"/>
                <w:szCs w:val="18"/>
              </w:rPr>
            </w:pPr>
            <w:r>
              <w:rPr>
                <w:rFonts w:hint="eastAsia" w:asciiTheme="minorEastAsia" w:hAnsiTheme="minorEastAsia" w:eastAsiaTheme="minorEastAsia"/>
                <w:sz w:val="18"/>
                <w:szCs w:val="18"/>
              </w:rPr>
              <w:t>固定支架、管装、贴壁</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336" w:hRule="atLeast"/>
        </w:trPr>
        <w:tc>
          <w:tcPr>
            <w:tcW w:w="1563"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安装螺纹</w:t>
            </w:r>
          </w:p>
        </w:tc>
        <w:tc>
          <w:tcPr>
            <w:tcW w:w="5175" w:type="dxa"/>
            <w:gridSpan w:val="3"/>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sz w:val="18"/>
                <w:szCs w:val="18"/>
              </w:rPr>
            </w:pPr>
            <w:r>
              <w:rPr>
                <w:rFonts w:hint="eastAsia" w:asciiTheme="minorEastAsia" w:hAnsiTheme="minorEastAsia" w:eastAsiaTheme="minorEastAsia"/>
                <w:sz w:val="18"/>
                <w:szCs w:val="18"/>
              </w:rPr>
              <w:t>G</w:t>
            </w:r>
            <w:r>
              <w:rPr>
                <w:rFonts w:hint="eastAsia" w:asciiTheme="minorEastAsia" w:hAnsiTheme="minorEastAsia" w:eastAsiaTheme="minorEastAsia"/>
                <w:sz w:val="18"/>
                <w:szCs w:val="18"/>
                <w:lang w:val="en-US" w:eastAsia="zh-CN"/>
              </w:rPr>
              <w:t>3</w:t>
            </w:r>
            <w:r>
              <w:rPr>
                <w:rFonts w:hint="eastAsia" w:asciiTheme="minorEastAsia" w:hAnsiTheme="minorEastAsia" w:eastAsiaTheme="minorEastAsia"/>
                <w:sz w:val="18"/>
                <w:szCs w:val="18"/>
              </w:rPr>
              <w:t>/</w:t>
            </w:r>
            <w:r>
              <w:rPr>
                <w:rFonts w:hint="eastAsia" w:asciiTheme="minorEastAsia" w:hAnsiTheme="minorEastAsia" w:eastAsiaTheme="minorEastAsia"/>
                <w:sz w:val="18"/>
                <w:szCs w:val="18"/>
                <w:lang w:val="en-US" w:eastAsia="zh-CN"/>
              </w:rPr>
              <w:t>4</w:t>
            </w:r>
            <w:r>
              <w:rPr>
                <w:rFonts w:hint="eastAsia" w:asciiTheme="minorEastAsia" w:hAnsiTheme="minorEastAsia" w:eastAsiaTheme="minorEastAsia"/>
                <w:sz w:val="18"/>
                <w:szCs w:val="18"/>
              </w:rPr>
              <w:t xml:space="preserve">" </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702" w:hRule="atLeast"/>
        </w:trPr>
        <w:tc>
          <w:tcPr>
            <w:tcW w:w="1563"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可配套的控制器</w:t>
            </w:r>
          </w:p>
        </w:tc>
        <w:tc>
          <w:tcPr>
            <w:tcW w:w="5175" w:type="dxa"/>
            <w:gridSpan w:val="3"/>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sz w:val="18"/>
                <w:szCs w:val="18"/>
              </w:rPr>
            </w:pPr>
            <w:r>
              <w:rPr>
                <w:rFonts w:hint="eastAsia" w:asciiTheme="minorEastAsia" w:hAnsiTheme="minorEastAsia" w:eastAsiaTheme="minorEastAsia"/>
                <w:sz w:val="18"/>
                <w:szCs w:val="18"/>
                <w:lang w:val="en-US" w:eastAsia="zh-CN"/>
              </w:rPr>
              <w:t>DN-K3000</w:t>
            </w:r>
          </w:p>
        </w:tc>
      </w:tr>
    </w:tbl>
    <w:p>
      <w:pPr>
        <w:pStyle w:val="2"/>
        <w:numPr>
          <w:ilvl w:val="0"/>
          <w:numId w:val="0"/>
        </w:numPr>
        <w:spacing w:line="240" w:lineRule="auto"/>
        <w:ind w:leftChars="0"/>
      </w:pPr>
      <w:bookmarkStart w:id="2" w:name="_Toc408843070"/>
      <w:r>
        <w:rPr>
          <w:rFonts w:hint="eastAsia"/>
          <w:lang w:val="en-US" w:eastAsia="zh-CN"/>
        </w:rPr>
        <w:t>3.</w:t>
      </w:r>
      <w:r>
        <w:rPr>
          <w:rFonts w:hint="eastAsia"/>
        </w:rPr>
        <w:t>结构特征与安装：</w:t>
      </w:r>
      <w:bookmarkEnd w:id="2"/>
    </w:p>
    <w:p>
      <w:pPr>
        <w:pStyle w:val="3"/>
        <w:spacing w:line="240" w:lineRule="auto"/>
        <w:rPr>
          <w:sz w:val="21"/>
          <w:szCs w:val="21"/>
        </w:rPr>
      </w:pPr>
      <w:bookmarkStart w:id="3" w:name="_Toc408843071"/>
      <w:r>
        <w:rPr>
          <w:rFonts w:hint="eastAsia"/>
          <w:sz w:val="21"/>
          <w:szCs w:val="21"/>
        </w:rPr>
        <w:t>3-1 产品结构</w:t>
      </w:r>
      <w:bookmarkEnd w:id="3"/>
    </w:p>
    <w:tbl>
      <w:tblPr>
        <w:tblStyle w:val="12"/>
        <w:tblW w:w="6440" w:type="dxa"/>
        <w:jc w:val="center"/>
        <w:tblInd w:w="-382" w:type="dxa"/>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
      <w:tblGrid>
        <w:gridCol w:w="4014"/>
        <w:gridCol w:w="747"/>
        <w:gridCol w:w="1679"/>
      </w:tblGrid>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358" w:hRule="atLeast"/>
          <w:jc w:val="center"/>
        </w:trPr>
        <w:tc>
          <w:tcPr>
            <w:tcW w:w="4014" w:type="dxa"/>
            <w:shd w:val="clear" w:color="auto" w:fill="auto"/>
            <w:vAlign w:val="center"/>
          </w:tcPr>
          <w:p>
            <w:pPr>
              <w:keepNext w:val="0"/>
              <w:keepLines w:val="0"/>
              <w:suppressLineNumbers w:val="0"/>
              <w:spacing w:before="0" w:beforeAutospacing="0" w:after="0" w:afterAutospacing="0" w:line="400" w:lineRule="atLeast"/>
              <w:ind w:left="0" w:right="0"/>
              <w:jc w:val="center"/>
              <w:rPr>
                <w:rFonts w:hint="default" w:ascii="宋体" w:hAnsi="宋体"/>
                <w:b/>
                <w:szCs w:val="21"/>
              </w:rPr>
            </w:pPr>
            <w:r>
              <w:rPr>
                <w:rFonts w:hint="eastAsia" w:ascii="宋体" w:hAnsi="宋体"/>
                <w:b/>
                <w:szCs w:val="21"/>
              </w:rPr>
              <w:t>图  示</w:t>
            </w:r>
          </w:p>
        </w:tc>
        <w:tc>
          <w:tcPr>
            <w:tcW w:w="747" w:type="dxa"/>
            <w:shd w:val="clear" w:color="auto" w:fill="auto"/>
            <w:vAlign w:val="center"/>
          </w:tcPr>
          <w:p>
            <w:pPr>
              <w:keepNext w:val="0"/>
              <w:keepLines w:val="0"/>
              <w:suppressLineNumbers w:val="0"/>
              <w:spacing w:before="0" w:beforeAutospacing="0" w:after="0" w:afterAutospacing="0" w:line="400" w:lineRule="atLeast"/>
              <w:ind w:left="0" w:right="0"/>
              <w:jc w:val="center"/>
              <w:rPr>
                <w:rFonts w:hint="default" w:ascii="宋体" w:hAnsi="宋体"/>
                <w:b/>
                <w:szCs w:val="21"/>
              </w:rPr>
            </w:pPr>
            <w:r>
              <w:rPr>
                <w:rFonts w:hint="eastAsia" w:ascii="宋体" w:hAnsi="宋体"/>
                <w:b/>
                <w:szCs w:val="21"/>
              </w:rPr>
              <w:t>标示</w:t>
            </w:r>
          </w:p>
        </w:tc>
        <w:tc>
          <w:tcPr>
            <w:tcW w:w="1679" w:type="dxa"/>
            <w:shd w:val="clear" w:color="auto" w:fill="auto"/>
            <w:vAlign w:val="center"/>
          </w:tcPr>
          <w:p>
            <w:pPr>
              <w:keepNext w:val="0"/>
              <w:keepLines w:val="0"/>
              <w:suppressLineNumbers w:val="0"/>
              <w:spacing w:before="0" w:beforeAutospacing="0" w:after="0" w:afterAutospacing="0" w:line="400" w:lineRule="atLeast"/>
              <w:ind w:left="0" w:right="0"/>
              <w:jc w:val="center"/>
              <w:rPr>
                <w:rFonts w:hint="default" w:ascii="宋体" w:hAnsi="宋体"/>
                <w:b/>
                <w:szCs w:val="21"/>
              </w:rPr>
            </w:pPr>
            <w:r>
              <w:rPr>
                <w:rFonts w:hint="eastAsia" w:ascii="宋体" w:hAnsi="宋体"/>
                <w:b/>
                <w:szCs w:val="21"/>
              </w:rPr>
              <w:t>描述</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358" w:hRule="atLeast"/>
          <w:jc w:val="center"/>
        </w:trPr>
        <w:tc>
          <w:tcPr>
            <w:tcW w:w="4014" w:type="dxa"/>
            <w:vMerge w:val="restart"/>
            <w:shd w:val="clear" w:color="auto" w:fill="auto"/>
            <w:vAlign w:val="center"/>
          </w:tcPr>
          <w:p>
            <w:pPr>
              <w:keepNext w:val="0"/>
              <w:keepLines w:val="0"/>
              <w:suppressLineNumbers w:val="0"/>
              <w:spacing w:before="0" w:beforeAutospacing="0" w:after="0" w:afterAutospacing="0" w:line="400" w:lineRule="atLeast"/>
              <w:ind w:left="0" w:right="0"/>
              <w:jc w:val="center"/>
              <w:rPr>
                <w:rFonts w:hint="default"/>
                <w:sz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sz w:val="24"/>
              </w:rPr>
            </w:pPr>
            <w:r>
              <w:rPr>
                <w:rFonts w:hint="default"/>
                <w:sz w:val="24"/>
              </w:rPr>
              <w:drawing>
                <wp:inline distT="0" distB="0" distL="0" distR="0">
                  <wp:extent cx="2221865" cy="1306830"/>
                  <wp:effectExtent l="0" t="0" r="6985" b="762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noChangeArrowheads="1"/>
                          </pic:cNvPicPr>
                        </pic:nvPicPr>
                        <pic:blipFill>
                          <a:blip r:embed="rId9" cstate="print"/>
                          <a:srcRect/>
                          <a:stretch>
                            <a:fillRect/>
                          </a:stretch>
                        </pic:blipFill>
                        <pic:spPr>
                          <a:xfrm>
                            <a:off x="0" y="0"/>
                            <a:ext cx="2221865" cy="1306830"/>
                          </a:xfrm>
                          <a:prstGeom prst="rect">
                            <a:avLst/>
                          </a:prstGeom>
                          <a:noFill/>
                          <a:ln w="9525">
                            <a:noFill/>
                            <a:miter lim="800000"/>
                            <a:headEnd/>
                            <a:tailEnd/>
                          </a:ln>
                        </pic:spPr>
                      </pic:pic>
                    </a:graphicData>
                  </a:graphic>
                </wp:inline>
              </w:drawing>
            </w:r>
          </w:p>
          <w:p>
            <w:pPr>
              <w:keepNext w:val="0"/>
              <w:keepLines w:val="0"/>
              <w:suppressLineNumbers w:val="0"/>
              <w:tabs>
                <w:tab w:val="left" w:pos="665"/>
              </w:tabs>
              <w:spacing w:before="0" w:beforeAutospacing="0" w:after="0" w:afterAutospacing="0"/>
              <w:ind w:left="0" w:right="0"/>
              <w:jc w:val="center"/>
              <w:rPr>
                <w:rFonts w:hint="default"/>
                <w:sz w:val="24"/>
              </w:rPr>
            </w:pPr>
          </w:p>
        </w:tc>
        <w:tc>
          <w:tcPr>
            <w:tcW w:w="747" w:type="dxa"/>
            <w:shd w:val="clear" w:color="auto" w:fill="auto"/>
          </w:tcPr>
          <w:p>
            <w:pPr>
              <w:keepNext w:val="0"/>
              <w:keepLines w:val="0"/>
              <w:suppressLineNumbers w:val="0"/>
              <w:spacing w:before="0" w:beforeAutospacing="0" w:after="0" w:afterAutospacing="0" w:line="400" w:lineRule="atLeast"/>
              <w:ind w:left="0" w:right="0"/>
              <w:jc w:val="center"/>
              <w:rPr>
                <w:rFonts w:hint="default" w:ascii="宋体" w:hAnsi="宋体"/>
                <w:szCs w:val="21"/>
              </w:rPr>
            </w:pPr>
            <w:r>
              <w:rPr>
                <w:rFonts w:hint="eastAsia" w:ascii="宋体" w:hAnsi="宋体"/>
                <w:szCs w:val="21"/>
              </w:rPr>
              <w:t>1</w:t>
            </w:r>
          </w:p>
        </w:tc>
        <w:tc>
          <w:tcPr>
            <w:tcW w:w="1679" w:type="dxa"/>
            <w:shd w:val="clear" w:color="auto" w:fill="auto"/>
          </w:tcPr>
          <w:p>
            <w:pPr>
              <w:keepNext w:val="0"/>
              <w:keepLines w:val="0"/>
              <w:suppressLineNumbers w:val="0"/>
              <w:spacing w:before="0" w:beforeAutospacing="0" w:after="0" w:afterAutospacing="0" w:line="400" w:lineRule="atLeast"/>
              <w:ind w:left="0" w:right="0"/>
              <w:jc w:val="left"/>
              <w:rPr>
                <w:rFonts w:hint="default" w:ascii="宋体" w:hAnsi="宋体"/>
                <w:szCs w:val="21"/>
              </w:rPr>
            </w:pPr>
            <w:r>
              <w:rPr>
                <w:rFonts w:hint="eastAsia" w:ascii="宋体" w:hAnsi="宋体"/>
                <w:szCs w:val="21"/>
              </w:rPr>
              <w:t>上 壳</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358" w:hRule="atLeast"/>
          <w:jc w:val="center"/>
        </w:trPr>
        <w:tc>
          <w:tcPr>
            <w:tcW w:w="4014" w:type="dxa"/>
            <w:vMerge w:val="continue"/>
            <w:shd w:val="clear" w:color="auto" w:fill="auto"/>
          </w:tcPr>
          <w:p>
            <w:pPr>
              <w:keepNext w:val="0"/>
              <w:keepLines w:val="0"/>
              <w:suppressLineNumbers w:val="0"/>
              <w:spacing w:before="0" w:beforeAutospacing="0" w:after="0" w:afterAutospacing="0" w:line="400" w:lineRule="atLeast"/>
              <w:ind w:left="0" w:right="0"/>
              <w:rPr>
                <w:rFonts w:hint="default"/>
                <w:sz w:val="24"/>
              </w:rPr>
            </w:pPr>
          </w:p>
        </w:tc>
        <w:tc>
          <w:tcPr>
            <w:tcW w:w="747" w:type="dxa"/>
            <w:shd w:val="clear" w:color="auto" w:fill="auto"/>
          </w:tcPr>
          <w:p>
            <w:pPr>
              <w:keepNext w:val="0"/>
              <w:keepLines w:val="0"/>
              <w:suppressLineNumbers w:val="0"/>
              <w:spacing w:before="0" w:beforeAutospacing="0" w:after="0" w:afterAutospacing="0" w:line="400" w:lineRule="atLeast"/>
              <w:ind w:left="0" w:right="0"/>
              <w:jc w:val="center"/>
              <w:rPr>
                <w:rFonts w:hint="default" w:ascii="宋体" w:hAnsi="宋体"/>
                <w:szCs w:val="21"/>
              </w:rPr>
            </w:pPr>
            <w:r>
              <w:rPr>
                <w:rFonts w:hint="eastAsia" w:ascii="宋体" w:hAnsi="宋体"/>
                <w:szCs w:val="21"/>
              </w:rPr>
              <w:t>2</w:t>
            </w:r>
          </w:p>
        </w:tc>
        <w:tc>
          <w:tcPr>
            <w:tcW w:w="1679" w:type="dxa"/>
            <w:shd w:val="clear" w:color="auto" w:fill="auto"/>
          </w:tcPr>
          <w:p>
            <w:pPr>
              <w:keepNext w:val="0"/>
              <w:keepLines w:val="0"/>
              <w:suppressLineNumbers w:val="0"/>
              <w:spacing w:before="0" w:beforeAutospacing="0" w:after="0" w:afterAutospacing="0" w:line="400" w:lineRule="atLeast"/>
              <w:ind w:left="0" w:right="0"/>
              <w:jc w:val="left"/>
              <w:rPr>
                <w:rFonts w:hint="default" w:ascii="宋体" w:hAnsi="宋体"/>
                <w:szCs w:val="21"/>
              </w:rPr>
            </w:pPr>
            <w:r>
              <w:rPr>
                <w:rFonts w:hint="eastAsia" w:ascii="宋体" w:hAnsi="宋体"/>
                <w:szCs w:val="21"/>
              </w:rPr>
              <w:t>显示模块</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358" w:hRule="atLeast"/>
          <w:jc w:val="center"/>
        </w:trPr>
        <w:tc>
          <w:tcPr>
            <w:tcW w:w="4014" w:type="dxa"/>
            <w:vMerge w:val="continue"/>
            <w:shd w:val="clear" w:color="auto" w:fill="auto"/>
          </w:tcPr>
          <w:p>
            <w:pPr>
              <w:keepNext w:val="0"/>
              <w:keepLines w:val="0"/>
              <w:suppressLineNumbers w:val="0"/>
              <w:spacing w:before="0" w:beforeAutospacing="0" w:after="0" w:afterAutospacing="0" w:line="400" w:lineRule="atLeast"/>
              <w:ind w:left="0" w:right="0"/>
              <w:rPr>
                <w:rFonts w:hint="default"/>
                <w:sz w:val="24"/>
              </w:rPr>
            </w:pPr>
          </w:p>
        </w:tc>
        <w:tc>
          <w:tcPr>
            <w:tcW w:w="747" w:type="dxa"/>
            <w:shd w:val="clear" w:color="auto" w:fill="auto"/>
          </w:tcPr>
          <w:p>
            <w:pPr>
              <w:keepNext w:val="0"/>
              <w:keepLines w:val="0"/>
              <w:suppressLineNumbers w:val="0"/>
              <w:spacing w:before="0" w:beforeAutospacing="0" w:after="0" w:afterAutospacing="0" w:line="400" w:lineRule="atLeast"/>
              <w:ind w:left="0" w:right="0"/>
              <w:jc w:val="center"/>
              <w:rPr>
                <w:rFonts w:hint="default" w:ascii="宋体" w:hAnsi="宋体"/>
                <w:szCs w:val="21"/>
              </w:rPr>
            </w:pPr>
            <w:r>
              <w:rPr>
                <w:rFonts w:hint="eastAsia" w:ascii="宋体" w:hAnsi="宋体"/>
                <w:szCs w:val="21"/>
              </w:rPr>
              <w:t>3</w:t>
            </w:r>
          </w:p>
        </w:tc>
        <w:tc>
          <w:tcPr>
            <w:tcW w:w="1679" w:type="dxa"/>
            <w:shd w:val="clear" w:color="auto" w:fill="auto"/>
          </w:tcPr>
          <w:p>
            <w:pPr>
              <w:keepNext w:val="0"/>
              <w:keepLines w:val="0"/>
              <w:suppressLineNumbers w:val="0"/>
              <w:spacing w:before="0" w:beforeAutospacing="0" w:after="0" w:afterAutospacing="0" w:line="400" w:lineRule="atLeast"/>
              <w:ind w:left="0" w:right="0"/>
              <w:jc w:val="left"/>
              <w:rPr>
                <w:rFonts w:hint="default" w:ascii="宋体" w:hAnsi="宋体"/>
                <w:szCs w:val="21"/>
              </w:rPr>
            </w:pPr>
            <w:r>
              <w:rPr>
                <w:rFonts w:hint="eastAsia" w:ascii="宋体" w:hAnsi="宋体"/>
                <w:szCs w:val="21"/>
              </w:rPr>
              <w:t>主板模块</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1470" w:hRule="atLeast"/>
          <w:jc w:val="center"/>
        </w:trPr>
        <w:tc>
          <w:tcPr>
            <w:tcW w:w="4014" w:type="dxa"/>
            <w:vMerge w:val="continue"/>
            <w:shd w:val="clear" w:color="auto" w:fill="auto"/>
          </w:tcPr>
          <w:p>
            <w:pPr>
              <w:keepNext w:val="0"/>
              <w:keepLines w:val="0"/>
              <w:suppressLineNumbers w:val="0"/>
              <w:spacing w:before="0" w:beforeAutospacing="0" w:after="0" w:afterAutospacing="0" w:line="400" w:lineRule="atLeast"/>
              <w:ind w:left="0" w:right="0"/>
              <w:rPr>
                <w:rFonts w:hint="default"/>
                <w:sz w:val="24"/>
              </w:rPr>
            </w:pPr>
          </w:p>
        </w:tc>
        <w:tc>
          <w:tcPr>
            <w:tcW w:w="747" w:type="dxa"/>
            <w:shd w:val="clear" w:color="auto" w:fill="auto"/>
          </w:tcPr>
          <w:p>
            <w:pPr>
              <w:keepNext w:val="0"/>
              <w:keepLines w:val="0"/>
              <w:suppressLineNumbers w:val="0"/>
              <w:spacing w:before="0" w:beforeAutospacing="0" w:after="0" w:afterAutospacing="0" w:line="400" w:lineRule="atLeast"/>
              <w:ind w:left="0" w:right="0"/>
              <w:jc w:val="center"/>
              <w:rPr>
                <w:rFonts w:hint="default" w:ascii="宋体" w:hAnsi="宋体"/>
                <w:szCs w:val="21"/>
              </w:rPr>
            </w:pPr>
            <w:r>
              <w:rPr>
                <w:rFonts w:hint="eastAsia" w:ascii="宋体" w:hAnsi="宋体"/>
                <w:szCs w:val="21"/>
              </w:rPr>
              <w:t>4</w:t>
            </w:r>
          </w:p>
        </w:tc>
        <w:tc>
          <w:tcPr>
            <w:tcW w:w="1679" w:type="dxa"/>
            <w:shd w:val="clear" w:color="auto" w:fill="auto"/>
          </w:tcPr>
          <w:p>
            <w:pPr>
              <w:keepNext w:val="0"/>
              <w:keepLines w:val="0"/>
              <w:suppressLineNumbers w:val="0"/>
              <w:spacing w:before="0" w:beforeAutospacing="0" w:after="0" w:afterAutospacing="0" w:line="400" w:lineRule="atLeast"/>
              <w:ind w:left="0" w:right="0"/>
              <w:jc w:val="left"/>
              <w:rPr>
                <w:rFonts w:hint="default" w:ascii="宋体" w:hAnsi="宋体"/>
                <w:szCs w:val="21"/>
              </w:rPr>
            </w:pPr>
            <w:r>
              <w:rPr>
                <w:rFonts w:hint="eastAsia" w:ascii="宋体" w:hAnsi="宋体"/>
                <w:szCs w:val="21"/>
              </w:rPr>
              <w:t>底 壳</w:t>
            </w:r>
          </w:p>
        </w:tc>
      </w:tr>
    </w:tbl>
    <w:p>
      <w:pPr>
        <w:numPr>
          <w:ilvl w:val="0"/>
          <w:numId w:val="0"/>
        </w:numPr>
        <w:spacing w:line="400" w:lineRule="atLeast"/>
        <w:ind w:leftChars="0"/>
        <w:rPr>
          <w:sz w:val="24"/>
        </w:rPr>
      </w:pPr>
      <w:r>
        <w:rPr>
          <w:rFonts w:hint="eastAsia"/>
          <w:sz w:val="24"/>
        </w:rPr>
        <w:t>指示模块说明：</w:t>
      </w:r>
    </w:p>
    <w:tbl>
      <w:tblPr>
        <w:tblStyle w:val="12"/>
        <w:tblW w:w="5940" w:type="dxa"/>
        <w:jc w:val="center"/>
        <w:tblInd w:w="40" w:type="dxa"/>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
      <w:tblGrid>
        <w:gridCol w:w="3824"/>
        <w:gridCol w:w="677"/>
        <w:gridCol w:w="1439"/>
      </w:tblGrid>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341" w:hRule="atLeast"/>
          <w:jc w:val="center"/>
        </w:trPr>
        <w:tc>
          <w:tcPr>
            <w:tcW w:w="3824" w:type="dxa"/>
            <w:shd w:val="clear" w:color="auto" w:fill="auto"/>
            <w:vAlign w:val="center"/>
          </w:tcPr>
          <w:p>
            <w:pPr>
              <w:keepNext w:val="0"/>
              <w:keepLines w:val="0"/>
              <w:suppressLineNumbers w:val="0"/>
              <w:spacing w:before="0" w:beforeAutospacing="0" w:after="0" w:afterAutospacing="0" w:line="400" w:lineRule="atLeast"/>
              <w:ind w:left="0" w:right="0"/>
              <w:jc w:val="center"/>
              <w:rPr>
                <w:rFonts w:hint="default"/>
                <w:b/>
                <w:szCs w:val="21"/>
              </w:rPr>
            </w:pPr>
            <w:r>
              <w:rPr>
                <w:rFonts w:hint="eastAsia"/>
                <w:b/>
                <w:szCs w:val="21"/>
              </w:rPr>
              <w:t>图 示</w:t>
            </w:r>
          </w:p>
        </w:tc>
        <w:tc>
          <w:tcPr>
            <w:tcW w:w="677" w:type="dxa"/>
            <w:shd w:val="clear" w:color="auto" w:fill="auto"/>
            <w:vAlign w:val="center"/>
          </w:tcPr>
          <w:p>
            <w:pPr>
              <w:keepNext w:val="0"/>
              <w:keepLines w:val="0"/>
              <w:suppressLineNumbers w:val="0"/>
              <w:spacing w:before="0" w:beforeAutospacing="0" w:after="0" w:afterAutospacing="0" w:line="400" w:lineRule="atLeast"/>
              <w:ind w:left="0" w:right="0"/>
              <w:jc w:val="center"/>
              <w:rPr>
                <w:rFonts w:hint="default" w:ascii="宋体" w:hAnsi="宋体"/>
                <w:b/>
                <w:szCs w:val="21"/>
              </w:rPr>
            </w:pPr>
            <w:r>
              <w:rPr>
                <w:rFonts w:hint="eastAsia" w:ascii="宋体" w:hAnsi="宋体"/>
                <w:b/>
                <w:szCs w:val="21"/>
              </w:rPr>
              <w:t>标示</w:t>
            </w:r>
          </w:p>
        </w:tc>
        <w:tc>
          <w:tcPr>
            <w:tcW w:w="1439" w:type="dxa"/>
            <w:shd w:val="clear" w:color="auto" w:fill="auto"/>
            <w:vAlign w:val="center"/>
          </w:tcPr>
          <w:p>
            <w:pPr>
              <w:keepNext w:val="0"/>
              <w:keepLines w:val="0"/>
              <w:suppressLineNumbers w:val="0"/>
              <w:spacing w:before="0" w:beforeAutospacing="0" w:after="0" w:afterAutospacing="0" w:line="400" w:lineRule="atLeast"/>
              <w:ind w:left="0" w:right="0"/>
              <w:jc w:val="center"/>
              <w:rPr>
                <w:rFonts w:hint="default" w:ascii="宋体" w:hAnsi="宋体"/>
                <w:b/>
                <w:szCs w:val="21"/>
              </w:rPr>
            </w:pPr>
            <w:r>
              <w:rPr>
                <w:rFonts w:hint="eastAsia" w:ascii="宋体" w:hAnsi="宋体"/>
                <w:b/>
                <w:szCs w:val="21"/>
              </w:rPr>
              <w:t>描述</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673" w:hRule="atLeast"/>
          <w:jc w:val="center"/>
        </w:trPr>
        <w:tc>
          <w:tcPr>
            <w:tcW w:w="3824" w:type="dxa"/>
            <w:vMerge w:val="restart"/>
            <w:shd w:val="clear" w:color="auto" w:fill="auto"/>
          </w:tcPr>
          <w:p>
            <w:pPr>
              <w:keepNext w:val="0"/>
              <w:keepLines w:val="0"/>
              <w:suppressLineNumbers w:val="0"/>
              <w:spacing w:before="0" w:beforeAutospacing="0" w:after="0" w:afterAutospacing="0" w:line="400" w:lineRule="atLeast"/>
              <w:ind w:left="0" w:right="0"/>
              <w:jc w:val="center"/>
              <w:rPr>
                <w:rFonts w:hint="eastAsia" w:eastAsia="宋体"/>
                <w:sz w:val="24"/>
                <w:lang w:eastAsia="zh-CN"/>
              </w:rPr>
            </w:pPr>
            <w:r>
              <w:rPr>
                <w:rFonts w:hint="eastAsia" w:eastAsia="宋体"/>
                <w:sz w:val="24"/>
                <w:lang w:eastAsia="zh-CN"/>
              </w:rPr>
              <w:drawing>
                <wp:inline distT="0" distB="0" distL="114300" distR="114300">
                  <wp:extent cx="2479675" cy="1356995"/>
                  <wp:effectExtent l="0" t="0" r="15875" b="14605"/>
                  <wp:docPr id="3" name="图片 3" descr="数码管显示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数码管显示31"/>
                          <pic:cNvPicPr>
                            <a:picLocks noChangeAspect="1"/>
                          </pic:cNvPicPr>
                        </pic:nvPicPr>
                        <pic:blipFill>
                          <a:blip r:embed="rId10"/>
                          <a:stretch>
                            <a:fillRect/>
                          </a:stretch>
                        </pic:blipFill>
                        <pic:spPr>
                          <a:xfrm>
                            <a:off x="0" y="0"/>
                            <a:ext cx="2479675" cy="1356995"/>
                          </a:xfrm>
                          <a:prstGeom prst="rect">
                            <a:avLst/>
                          </a:prstGeom>
                        </pic:spPr>
                      </pic:pic>
                    </a:graphicData>
                  </a:graphic>
                </wp:inline>
              </w:drawing>
            </w:r>
          </w:p>
        </w:tc>
        <w:tc>
          <w:tcPr>
            <w:tcW w:w="677" w:type="dxa"/>
            <w:shd w:val="clear" w:color="auto" w:fill="auto"/>
          </w:tcPr>
          <w:p>
            <w:pPr>
              <w:keepNext w:val="0"/>
              <w:keepLines w:val="0"/>
              <w:suppressLineNumbers w:val="0"/>
              <w:spacing w:before="0" w:beforeAutospacing="0" w:after="0" w:afterAutospacing="0" w:line="400" w:lineRule="atLeast"/>
              <w:ind w:left="0" w:right="0"/>
              <w:jc w:val="center"/>
              <w:rPr>
                <w:rFonts w:hint="default" w:ascii="宋体" w:hAnsi="宋体"/>
                <w:szCs w:val="21"/>
              </w:rPr>
            </w:pPr>
            <w:r>
              <w:rPr>
                <w:rFonts w:hint="eastAsia" w:ascii="宋体" w:hAnsi="宋体"/>
                <w:szCs w:val="21"/>
              </w:rPr>
              <w:t>1</w:t>
            </w:r>
          </w:p>
        </w:tc>
        <w:tc>
          <w:tcPr>
            <w:tcW w:w="1439" w:type="dxa"/>
            <w:shd w:val="clear" w:color="auto" w:fill="auto"/>
          </w:tcPr>
          <w:p>
            <w:pPr>
              <w:keepNext w:val="0"/>
              <w:keepLines w:val="0"/>
              <w:suppressLineNumbers w:val="0"/>
              <w:spacing w:before="0" w:beforeAutospacing="0" w:after="0" w:afterAutospacing="0" w:line="400" w:lineRule="atLeast"/>
              <w:ind w:left="0" w:right="0"/>
              <w:jc w:val="left"/>
              <w:rPr>
                <w:rFonts w:hint="default" w:ascii="宋体" w:hAnsi="宋体"/>
                <w:szCs w:val="21"/>
              </w:rPr>
            </w:pPr>
            <w:r>
              <w:rPr>
                <w:rFonts w:hint="eastAsia" w:ascii="宋体" w:hAnsi="宋体"/>
                <w:szCs w:val="21"/>
                <w:lang w:eastAsia="zh-CN"/>
              </w:rPr>
              <w:t>显示</w:t>
            </w:r>
            <w:r>
              <w:rPr>
                <w:rFonts w:hint="eastAsia" w:ascii="宋体" w:hAnsi="宋体"/>
                <w:szCs w:val="21"/>
              </w:rPr>
              <w:t>窗口</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1230" w:hRule="atLeast"/>
          <w:jc w:val="center"/>
        </w:trPr>
        <w:tc>
          <w:tcPr>
            <w:tcW w:w="3824" w:type="dxa"/>
            <w:vMerge w:val="continue"/>
            <w:shd w:val="clear" w:color="auto" w:fill="auto"/>
          </w:tcPr>
          <w:p>
            <w:pPr>
              <w:keepNext w:val="0"/>
              <w:keepLines w:val="0"/>
              <w:suppressLineNumbers w:val="0"/>
              <w:spacing w:before="0" w:beforeAutospacing="0" w:after="0" w:afterAutospacing="0" w:line="400" w:lineRule="atLeast"/>
              <w:ind w:left="0" w:right="0"/>
              <w:rPr>
                <w:rFonts w:hint="default"/>
                <w:sz w:val="24"/>
              </w:rPr>
            </w:pPr>
          </w:p>
        </w:tc>
        <w:tc>
          <w:tcPr>
            <w:tcW w:w="677" w:type="dxa"/>
            <w:shd w:val="clear" w:color="auto" w:fill="auto"/>
          </w:tcPr>
          <w:p>
            <w:pPr>
              <w:keepNext w:val="0"/>
              <w:keepLines w:val="0"/>
              <w:suppressLineNumbers w:val="0"/>
              <w:spacing w:before="0" w:beforeAutospacing="0" w:after="0" w:afterAutospacing="0" w:line="400" w:lineRule="atLeast"/>
              <w:ind w:left="0" w:right="0"/>
              <w:jc w:val="center"/>
              <w:rPr>
                <w:rFonts w:hint="eastAsia" w:ascii="宋体" w:hAnsi="宋体"/>
                <w:szCs w:val="21"/>
                <w:lang w:val="en-US" w:eastAsia="zh-CN"/>
              </w:rPr>
            </w:pPr>
            <w:r>
              <w:rPr>
                <w:rFonts w:hint="eastAsia" w:ascii="宋体" w:hAnsi="宋体"/>
                <w:szCs w:val="21"/>
                <w:lang w:val="en-US" w:eastAsia="zh-CN"/>
              </w:rPr>
              <w:t>2</w:t>
            </w:r>
          </w:p>
        </w:tc>
        <w:tc>
          <w:tcPr>
            <w:tcW w:w="1439" w:type="dxa"/>
            <w:shd w:val="clear" w:color="auto" w:fill="auto"/>
          </w:tcPr>
          <w:p>
            <w:pPr>
              <w:keepNext w:val="0"/>
              <w:keepLines w:val="0"/>
              <w:suppressLineNumbers w:val="0"/>
              <w:spacing w:before="0" w:beforeAutospacing="0" w:after="0" w:afterAutospacing="0" w:line="400" w:lineRule="atLeast"/>
              <w:ind w:left="0" w:right="0"/>
              <w:jc w:val="both"/>
              <w:rPr>
                <w:rFonts w:hint="eastAsia" w:ascii="宋体" w:hAnsi="宋体"/>
                <w:szCs w:val="21"/>
                <w:lang w:eastAsia="zh-CN"/>
              </w:rPr>
            </w:pPr>
            <w:r>
              <w:rPr>
                <w:rFonts w:hint="eastAsia" w:ascii="宋体" w:hAnsi="宋体"/>
                <w:szCs w:val="21"/>
                <w:lang w:eastAsia="zh-CN"/>
              </w:rPr>
              <w:t>指示灯</w:t>
            </w:r>
          </w:p>
        </w:tc>
      </w:tr>
    </w:tbl>
    <w:p>
      <w:pPr>
        <w:numPr>
          <w:ilvl w:val="0"/>
          <w:numId w:val="0"/>
        </w:numPr>
        <w:spacing w:line="480" w:lineRule="auto"/>
        <w:ind w:leftChars="0"/>
      </w:pPr>
      <w:r>
        <w:rPr>
          <w:rFonts w:hint="eastAsia"/>
        </w:rPr>
        <w:t>主板模块说明：</w:t>
      </w:r>
    </w:p>
    <w:tbl>
      <w:tblPr>
        <w:tblStyle w:val="12"/>
        <w:tblW w:w="6123" w:type="dxa"/>
        <w:jc w:val="center"/>
        <w:tblInd w:w="-161" w:type="dxa"/>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
      <w:tblGrid>
        <w:gridCol w:w="3461"/>
        <w:gridCol w:w="732"/>
        <w:gridCol w:w="1930"/>
      </w:tblGrid>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339" w:hRule="atLeast"/>
          <w:jc w:val="center"/>
        </w:trPr>
        <w:tc>
          <w:tcPr>
            <w:tcW w:w="3461" w:type="dxa"/>
            <w:shd w:val="clear" w:color="auto" w:fill="auto"/>
          </w:tcPr>
          <w:p>
            <w:pPr>
              <w:keepNext w:val="0"/>
              <w:keepLines w:val="0"/>
              <w:suppressLineNumbers w:val="0"/>
              <w:spacing w:before="0" w:beforeAutospacing="0" w:after="0" w:afterAutospacing="0" w:line="400" w:lineRule="atLeast"/>
              <w:ind w:left="0" w:right="0"/>
              <w:jc w:val="center"/>
              <w:rPr>
                <w:rFonts w:hint="default"/>
                <w:sz w:val="18"/>
                <w:szCs w:val="18"/>
              </w:rPr>
            </w:pPr>
            <w:r>
              <w:rPr>
                <w:rFonts w:hint="eastAsia"/>
                <w:sz w:val="18"/>
                <w:szCs w:val="18"/>
              </w:rPr>
              <w:t>图示</w:t>
            </w:r>
          </w:p>
        </w:tc>
        <w:tc>
          <w:tcPr>
            <w:tcW w:w="732" w:type="dxa"/>
            <w:shd w:val="clear" w:color="auto" w:fill="auto"/>
          </w:tcPr>
          <w:p>
            <w:pPr>
              <w:keepNext w:val="0"/>
              <w:keepLines w:val="0"/>
              <w:suppressLineNumbers w:val="0"/>
              <w:spacing w:before="0" w:beforeAutospacing="0" w:after="0" w:afterAutospacing="0" w:line="400" w:lineRule="atLeast"/>
              <w:ind w:left="0" w:right="0"/>
              <w:jc w:val="center"/>
              <w:rPr>
                <w:rFonts w:hint="default" w:ascii="宋体" w:hAnsi="宋体"/>
                <w:sz w:val="18"/>
                <w:szCs w:val="18"/>
              </w:rPr>
            </w:pPr>
            <w:r>
              <w:rPr>
                <w:rFonts w:hint="eastAsia" w:ascii="宋体" w:hAnsi="宋体"/>
                <w:sz w:val="18"/>
                <w:szCs w:val="18"/>
              </w:rPr>
              <w:t>标示</w:t>
            </w:r>
          </w:p>
        </w:tc>
        <w:tc>
          <w:tcPr>
            <w:tcW w:w="1930" w:type="dxa"/>
            <w:shd w:val="clear" w:color="auto" w:fill="auto"/>
          </w:tcPr>
          <w:p>
            <w:pPr>
              <w:keepNext w:val="0"/>
              <w:keepLines w:val="0"/>
              <w:suppressLineNumbers w:val="0"/>
              <w:spacing w:before="0" w:beforeAutospacing="0" w:after="0" w:afterAutospacing="0" w:line="400" w:lineRule="atLeast"/>
              <w:ind w:left="0" w:right="0"/>
              <w:jc w:val="center"/>
              <w:rPr>
                <w:rFonts w:hint="default" w:ascii="宋体" w:hAnsi="宋体"/>
                <w:sz w:val="18"/>
                <w:szCs w:val="18"/>
              </w:rPr>
            </w:pPr>
            <w:r>
              <w:rPr>
                <w:rFonts w:hint="eastAsia" w:ascii="宋体" w:hAnsi="宋体"/>
                <w:sz w:val="18"/>
                <w:szCs w:val="18"/>
              </w:rPr>
              <w:t>描述</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462" w:hRule="atLeast"/>
          <w:jc w:val="center"/>
        </w:trPr>
        <w:tc>
          <w:tcPr>
            <w:tcW w:w="3461" w:type="dxa"/>
            <w:vMerge w:val="restart"/>
            <w:shd w:val="clear" w:color="auto" w:fill="auto"/>
          </w:tcPr>
          <w:p>
            <w:pPr>
              <w:keepNext w:val="0"/>
              <w:keepLines w:val="0"/>
              <w:suppressLineNumbers w:val="0"/>
              <w:spacing w:before="0" w:beforeAutospacing="0" w:after="0" w:afterAutospacing="0" w:line="400" w:lineRule="atLeast"/>
              <w:ind w:left="0" w:right="0"/>
              <w:rPr>
                <w:rFonts w:hint="eastAsia" w:eastAsia="宋体"/>
                <w:sz w:val="24"/>
                <w:lang w:eastAsia="zh-CN"/>
              </w:rPr>
            </w:pPr>
            <w:r>
              <w:rPr>
                <w:rFonts w:hint="eastAsia" w:eastAsia="宋体"/>
                <w:sz w:val="24"/>
                <w:lang w:eastAsia="zh-CN"/>
              </w:rPr>
              <w:drawing>
                <wp:inline distT="0" distB="0" distL="114300" distR="114300">
                  <wp:extent cx="1847850" cy="1139190"/>
                  <wp:effectExtent l="0" t="0" r="0" b="3810"/>
                  <wp:docPr id="1" name="图片 1" descr="C:\Documents and Settings\Administrator\桌面\图片222.png图片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ocuments and Settings\Administrator\桌面\图片222.png图片222"/>
                          <pic:cNvPicPr>
                            <a:picLocks noChangeAspect="1"/>
                          </pic:cNvPicPr>
                        </pic:nvPicPr>
                        <pic:blipFill>
                          <a:blip r:embed="rId11"/>
                          <a:srcRect/>
                          <a:stretch>
                            <a:fillRect/>
                          </a:stretch>
                        </pic:blipFill>
                        <pic:spPr>
                          <a:xfrm>
                            <a:off x="0" y="0"/>
                            <a:ext cx="1847850" cy="1139190"/>
                          </a:xfrm>
                          <a:prstGeom prst="rect">
                            <a:avLst/>
                          </a:prstGeom>
                        </pic:spPr>
                      </pic:pic>
                    </a:graphicData>
                  </a:graphic>
                </wp:inline>
              </w:drawing>
            </w:r>
          </w:p>
        </w:tc>
        <w:tc>
          <w:tcPr>
            <w:tcW w:w="732" w:type="dxa"/>
            <w:shd w:val="clear" w:color="auto" w:fill="auto"/>
          </w:tcPr>
          <w:p>
            <w:pPr>
              <w:keepNext w:val="0"/>
              <w:keepLines w:val="0"/>
              <w:suppressLineNumbers w:val="0"/>
              <w:spacing w:before="0" w:beforeAutospacing="0" w:after="0" w:afterAutospacing="0" w:line="400" w:lineRule="atLeast"/>
              <w:ind w:left="0" w:right="0"/>
              <w:jc w:val="center"/>
              <w:rPr>
                <w:rFonts w:hint="default" w:ascii="宋体" w:hAnsi="宋体"/>
                <w:sz w:val="18"/>
                <w:szCs w:val="18"/>
              </w:rPr>
            </w:pPr>
            <w:r>
              <w:rPr>
                <w:rFonts w:hint="eastAsia" w:ascii="宋体" w:hAnsi="宋体"/>
                <w:sz w:val="18"/>
                <w:szCs w:val="18"/>
              </w:rPr>
              <w:t>1</w:t>
            </w:r>
          </w:p>
        </w:tc>
        <w:tc>
          <w:tcPr>
            <w:tcW w:w="1930" w:type="dxa"/>
            <w:shd w:val="clear" w:color="auto" w:fill="auto"/>
          </w:tcPr>
          <w:p>
            <w:pPr>
              <w:keepNext w:val="0"/>
              <w:keepLines w:val="0"/>
              <w:suppressLineNumbers w:val="0"/>
              <w:spacing w:before="0" w:beforeAutospacing="0" w:after="0" w:afterAutospacing="0" w:line="400" w:lineRule="atLeast"/>
              <w:ind w:left="0" w:right="0"/>
              <w:rPr>
                <w:rFonts w:hint="default" w:ascii="宋体" w:hAnsi="宋体"/>
                <w:sz w:val="18"/>
                <w:szCs w:val="18"/>
              </w:rPr>
            </w:pPr>
            <w:r>
              <w:rPr>
                <w:rFonts w:hint="eastAsia" w:ascii="宋体" w:hAnsi="宋体"/>
                <w:sz w:val="18"/>
                <w:szCs w:val="18"/>
              </w:rPr>
              <w:t>接线端子</w:t>
            </w:r>
            <w:r>
              <w:rPr>
                <w:rFonts w:hint="eastAsia" w:ascii="宋体" w:hAnsi="宋体"/>
                <w:sz w:val="18"/>
                <w:szCs w:val="18"/>
                <w:lang w:val="en-US" w:eastAsia="zh-CN"/>
              </w:rPr>
              <w:t>P</w:t>
            </w:r>
            <w:r>
              <w:rPr>
                <w:rFonts w:hint="eastAsia" w:ascii="宋体" w:hAnsi="宋体"/>
                <w:sz w:val="18"/>
                <w:szCs w:val="18"/>
              </w:rPr>
              <w:t>+ /</w:t>
            </w:r>
            <w:r>
              <w:rPr>
                <w:rFonts w:hint="eastAsia" w:ascii="宋体" w:hAnsi="宋体"/>
                <w:sz w:val="18"/>
                <w:szCs w:val="18"/>
                <w:lang w:val="en-US" w:eastAsia="zh-CN"/>
              </w:rPr>
              <w:t>P</w:t>
            </w:r>
            <w:bookmarkStart w:id="12" w:name="_GoBack"/>
            <w:bookmarkEnd w:id="12"/>
            <w:r>
              <w:rPr>
                <w:rFonts w:hint="eastAsia" w:ascii="宋体" w:hAnsi="宋体"/>
                <w:sz w:val="18"/>
                <w:szCs w:val="18"/>
              </w:rPr>
              <w:t>-</w:t>
            </w:r>
            <w:r>
              <w:rPr>
                <w:rFonts w:hint="eastAsia" w:ascii="宋体" w:hAnsi="宋体"/>
                <w:sz w:val="18"/>
                <w:szCs w:val="18"/>
                <w:lang w:val="en-US" w:eastAsia="zh-CN"/>
              </w:rPr>
              <w:t>/S</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173" w:hRule="atLeast"/>
          <w:jc w:val="center"/>
        </w:trPr>
        <w:tc>
          <w:tcPr>
            <w:tcW w:w="3461" w:type="dxa"/>
            <w:vMerge w:val="continue"/>
            <w:shd w:val="clear" w:color="auto" w:fill="auto"/>
          </w:tcPr>
          <w:p>
            <w:pPr>
              <w:keepNext w:val="0"/>
              <w:keepLines w:val="0"/>
              <w:suppressLineNumbers w:val="0"/>
              <w:spacing w:before="0" w:beforeAutospacing="0" w:after="0" w:afterAutospacing="0" w:line="400" w:lineRule="atLeast"/>
              <w:ind w:left="0" w:right="0"/>
              <w:rPr>
                <w:rFonts w:hint="default"/>
                <w:sz w:val="24"/>
              </w:rPr>
            </w:pPr>
          </w:p>
        </w:tc>
        <w:tc>
          <w:tcPr>
            <w:tcW w:w="732" w:type="dxa"/>
            <w:shd w:val="clear" w:color="auto" w:fill="auto"/>
          </w:tcPr>
          <w:p>
            <w:pPr>
              <w:keepNext w:val="0"/>
              <w:keepLines w:val="0"/>
              <w:suppressLineNumbers w:val="0"/>
              <w:spacing w:before="0" w:beforeAutospacing="0" w:after="0" w:afterAutospacing="0" w:line="400" w:lineRule="atLeast"/>
              <w:ind w:left="0" w:right="0"/>
              <w:jc w:val="center"/>
              <w:rPr>
                <w:rFonts w:hint="default" w:ascii="宋体" w:hAnsi="宋体"/>
                <w:sz w:val="18"/>
                <w:szCs w:val="18"/>
              </w:rPr>
            </w:pPr>
            <w:r>
              <w:rPr>
                <w:rFonts w:hint="eastAsia" w:ascii="宋体" w:hAnsi="宋体"/>
                <w:sz w:val="18"/>
                <w:szCs w:val="18"/>
              </w:rPr>
              <w:t>2</w:t>
            </w:r>
          </w:p>
        </w:tc>
        <w:tc>
          <w:tcPr>
            <w:tcW w:w="1930" w:type="dxa"/>
            <w:shd w:val="clear" w:color="auto" w:fill="auto"/>
          </w:tcPr>
          <w:p>
            <w:pPr>
              <w:keepNext w:val="0"/>
              <w:keepLines w:val="0"/>
              <w:suppressLineNumbers w:val="0"/>
              <w:spacing w:before="0" w:beforeAutospacing="0" w:after="0" w:afterAutospacing="0" w:line="400" w:lineRule="atLeast"/>
              <w:ind w:left="0" w:right="0"/>
              <w:jc w:val="left"/>
              <w:rPr>
                <w:rFonts w:hint="default" w:ascii="宋体" w:hAnsi="宋体"/>
                <w:sz w:val="18"/>
                <w:szCs w:val="18"/>
              </w:rPr>
            </w:pPr>
            <w:r>
              <w:rPr>
                <w:rFonts w:hint="eastAsia" w:ascii="宋体" w:hAnsi="宋体"/>
                <w:sz w:val="18"/>
                <w:szCs w:val="18"/>
              </w:rPr>
              <w:t>输出</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173" w:hRule="atLeast"/>
          <w:jc w:val="center"/>
        </w:trPr>
        <w:tc>
          <w:tcPr>
            <w:tcW w:w="3461" w:type="dxa"/>
            <w:vMerge w:val="continue"/>
            <w:shd w:val="clear" w:color="auto" w:fill="auto"/>
          </w:tcPr>
          <w:p>
            <w:pPr>
              <w:keepNext w:val="0"/>
              <w:keepLines w:val="0"/>
              <w:suppressLineNumbers w:val="0"/>
              <w:spacing w:before="0" w:beforeAutospacing="0" w:after="0" w:afterAutospacing="0" w:line="400" w:lineRule="atLeast"/>
              <w:ind w:left="0" w:right="0"/>
              <w:rPr>
                <w:rFonts w:hint="default"/>
                <w:sz w:val="24"/>
              </w:rPr>
            </w:pPr>
          </w:p>
        </w:tc>
        <w:tc>
          <w:tcPr>
            <w:tcW w:w="732" w:type="dxa"/>
            <w:shd w:val="clear" w:color="auto" w:fill="auto"/>
          </w:tcPr>
          <w:p>
            <w:pPr>
              <w:keepNext w:val="0"/>
              <w:keepLines w:val="0"/>
              <w:suppressLineNumbers w:val="0"/>
              <w:spacing w:before="0" w:beforeAutospacing="0" w:after="0" w:afterAutospacing="0" w:line="400" w:lineRule="atLeast"/>
              <w:ind w:left="0" w:right="0"/>
              <w:jc w:val="center"/>
              <w:rPr>
                <w:rFonts w:hint="default" w:ascii="宋体" w:hAnsi="宋体"/>
                <w:sz w:val="18"/>
                <w:szCs w:val="18"/>
              </w:rPr>
            </w:pPr>
            <w:r>
              <w:rPr>
                <w:rFonts w:hint="eastAsia" w:ascii="宋体" w:hAnsi="宋体"/>
                <w:sz w:val="18"/>
                <w:szCs w:val="18"/>
              </w:rPr>
              <w:t>3</w:t>
            </w:r>
          </w:p>
        </w:tc>
        <w:tc>
          <w:tcPr>
            <w:tcW w:w="1930" w:type="dxa"/>
            <w:shd w:val="clear" w:color="auto" w:fill="auto"/>
          </w:tcPr>
          <w:p>
            <w:pPr>
              <w:keepNext w:val="0"/>
              <w:keepLines w:val="0"/>
              <w:suppressLineNumbers w:val="0"/>
              <w:spacing w:before="0" w:beforeAutospacing="0" w:after="0" w:afterAutospacing="0" w:line="400" w:lineRule="atLeast"/>
              <w:ind w:left="0" w:right="0"/>
              <w:jc w:val="left"/>
              <w:rPr>
                <w:rFonts w:hint="default" w:ascii="宋体" w:hAnsi="宋体"/>
                <w:sz w:val="18"/>
                <w:szCs w:val="18"/>
              </w:rPr>
            </w:pPr>
            <w:r>
              <w:rPr>
                <w:rFonts w:hint="eastAsia" w:ascii="宋体" w:hAnsi="宋体"/>
                <w:sz w:val="18"/>
                <w:szCs w:val="18"/>
              </w:rPr>
              <w:t>显示接口</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173" w:hRule="atLeast"/>
          <w:jc w:val="center"/>
        </w:trPr>
        <w:tc>
          <w:tcPr>
            <w:tcW w:w="3461" w:type="dxa"/>
            <w:vMerge w:val="continue"/>
            <w:shd w:val="clear" w:color="auto" w:fill="auto"/>
          </w:tcPr>
          <w:p>
            <w:pPr>
              <w:keepNext w:val="0"/>
              <w:keepLines w:val="0"/>
              <w:suppressLineNumbers w:val="0"/>
              <w:spacing w:before="0" w:beforeAutospacing="0" w:after="0" w:afterAutospacing="0" w:line="400" w:lineRule="atLeast"/>
              <w:ind w:left="0" w:right="0"/>
              <w:rPr>
                <w:rFonts w:hint="default"/>
                <w:sz w:val="24"/>
              </w:rPr>
            </w:pPr>
          </w:p>
        </w:tc>
        <w:tc>
          <w:tcPr>
            <w:tcW w:w="732" w:type="dxa"/>
            <w:shd w:val="clear" w:color="auto" w:fill="auto"/>
          </w:tcPr>
          <w:p>
            <w:pPr>
              <w:keepNext w:val="0"/>
              <w:keepLines w:val="0"/>
              <w:suppressLineNumbers w:val="0"/>
              <w:spacing w:before="0" w:beforeAutospacing="0" w:after="0" w:afterAutospacing="0" w:line="400" w:lineRule="atLeast"/>
              <w:ind w:left="0" w:right="0"/>
              <w:jc w:val="center"/>
              <w:rPr>
                <w:rFonts w:hint="default" w:ascii="宋体" w:hAnsi="宋体"/>
                <w:sz w:val="18"/>
                <w:szCs w:val="18"/>
              </w:rPr>
            </w:pPr>
            <w:r>
              <w:rPr>
                <w:rFonts w:hint="eastAsia" w:ascii="宋体" w:hAnsi="宋体"/>
                <w:sz w:val="18"/>
                <w:szCs w:val="18"/>
              </w:rPr>
              <w:t>4</w:t>
            </w:r>
          </w:p>
        </w:tc>
        <w:tc>
          <w:tcPr>
            <w:tcW w:w="1930" w:type="dxa"/>
            <w:shd w:val="clear" w:color="auto" w:fill="auto"/>
          </w:tcPr>
          <w:p>
            <w:pPr>
              <w:keepNext w:val="0"/>
              <w:keepLines w:val="0"/>
              <w:suppressLineNumbers w:val="0"/>
              <w:spacing w:before="0" w:beforeAutospacing="0" w:after="0" w:afterAutospacing="0" w:line="400" w:lineRule="atLeast"/>
              <w:ind w:left="0" w:right="0"/>
              <w:jc w:val="left"/>
              <w:rPr>
                <w:rFonts w:hint="default" w:ascii="宋体" w:hAnsi="宋体"/>
                <w:sz w:val="18"/>
                <w:szCs w:val="18"/>
              </w:rPr>
            </w:pPr>
            <w:r>
              <w:rPr>
                <w:rFonts w:hint="eastAsia" w:ascii="宋体" w:hAnsi="宋体"/>
                <w:sz w:val="18"/>
                <w:szCs w:val="18"/>
              </w:rPr>
              <w:t>传感器接口</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173" w:hRule="atLeast"/>
          <w:jc w:val="center"/>
        </w:trPr>
        <w:tc>
          <w:tcPr>
            <w:tcW w:w="3461" w:type="dxa"/>
            <w:vMerge w:val="continue"/>
            <w:shd w:val="clear" w:color="auto" w:fill="auto"/>
          </w:tcPr>
          <w:p>
            <w:pPr>
              <w:keepNext w:val="0"/>
              <w:keepLines w:val="0"/>
              <w:suppressLineNumbers w:val="0"/>
              <w:spacing w:before="0" w:beforeAutospacing="0" w:after="0" w:afterAutospacing="0" w:line="400" w:lineRule="atLeast"/>
              <w:ind w:left="0" w:right="0"/>
              <w:rPr>
                <w:rFonts w:hint="default"/>
                <w:sz w:val="24"/>
              </w:rPr>
            </w:pPr>
          </w:p>
        </w:tc>
        <w:tc>
          <w:tcPr>
            <w:tcW w:w="732" w:type="dxa"/>
            <w:shd w:val="clear" w:color="auto" w:fill="auto"/>
          </w:tcPr>
          <w:p>
            <w:pPr>
              <w:keepNext w:val="0"/>
              <w:keepLines w:val="0"/>
              <w:suppressLineNumbers w:val="0"/>
              <w:spacing w:before="0" w:beforeAutospacing="0" w:after="0" w:afterAutospacing="0" w:line="400" w:lineRule="atLeast"/>
              <w:ind w:left="0" w:right="0"/>
              <w:jc w:val="center"/>
              <w:rPr>
                <w:rFonts w:hint="default" w:ascii="宋体" w:hAnsi="宋体"/>
                <w:sz w:val="18"/>
                <w:szCs w:val="18"/>
              </w:rPr>
            </w:pPr>
          </w:p>
        </w:tc>
        <w:tc>
          <w:tcPr>
            <w:tcW w:w="1930" w:type="dxa"/>
            <w:shd w:val="clear" w:color="auto" w:fill="auto"/>
          </w:tcPr>
          <w:p>
            <w:pPr>
              <w:keepNext w:val="0"/>
              <w:keepLines w:val="0"/>
              <w:suppressLineNumbers w:val="0"/>
              <w:spacing w:before="0" w:beforeAutospacing="0" w:after="0" w:afterAutospacing="0" w:line="400" w:lineRule="atLeast"/>
              <w:ind w:left="0" w:right="0"/>
              <w:jc w:val="center"/>
              <w:rPr>
                <w:rFonts w:hint="default" w:ascii="宋体" w:hAnsi="宋体"/>
                <w:sz w:val="18"/>
                <w:szCs w:val="18"/>
              </w:rPr>
            </w:pPr>
          </w:p>
        </w:tc>
      </w:tr>
    </w:tbl>
    <w:p>
      <w:pPr>
        <w:pStyle w:val="3"/>
        <w:spacing w:line="240" w:lineRule="auto"/>
        <w:rPr>
          <w:sz w:val="21"/>
          <w:szCs w:val="21"/>
        </w:rPr>
      </w:pPr>
      <w:bookmarkStart w:id="4" w:name="_Toc408843072"/>
      <w:r>
        <w:rPr>
          <w:rFonts w:hint="eastAsia"/>
          <w:sz w:val="21"/>
          <w:szCs w:val="21"/>
        </w:rPr>
        <w:t>3-2产品外形尺寸示意图：</w:t>
      </w:r>
      <w:bookmarkEnd w:id="4"/>
    </w:p>
    <w:p>
      <w:pPr>
        <w:spacing w:line="400" w:lineRule="atLeast"/>
        <w:ind w:firstLine="360" w:firstLineChars="150"/>
        <w:jc w:val="left"/>
        <w:rPr>
          <w:sz w:val="24"/>
        </w:rPr>
      </w:pPr>
      <w:r>
        <w:rPr>
          <w:rFonts w:hint="eastAsia"/>
          <w:sz w:val="24"/>
        </w:rPr>
        <w:t xml:space="preserve">  </w:t>
      </w:r>
      <w:r>
        <w:rPr>
          <w:rFonts w:hint="eastAsia"/>
          <w:sz w:val="24"/>
        </w:rPr>
        <w:drawing>
          <wp:inline distT="0" distB="0" distL="114300" distR="114300">
            <wp:extent cx="3048635" cy="1886585"/>
            <wp:effectExtent l="0" t="0" r="18415" b="18415"/>
            <wp:docPr id="2" name="图片 2" descr="QQ截图20161218125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截图20161218125522"/>
                    <pic:cNvPicPr>
                      <a:picLocks noChangeAspect="1"/>
                    </pic:cNvPicPr>
                  </pic:nvPicPr>
                  <pic:blipFill>
                    <a:blip r:embed="rId12"/>
                    <a:stretch>
                      <a:fillRect/>
                    </a:stretch>
                  </pic:blipFill>
                  <pic:spPr>
                    <a:xfrm>
                      <a:off x="0" y="0"/>
                      <a:ext cx="3048635" cy="1886585"/>
                    </a:xfrm>
                    <a:prstGeom prst="rect">
                      <a:avLst/>
                    </a:prstGeom>
                  </pic:spPr>
                </pic:pic>
              </a:graphicData>
            </a:graphic>
          </wp:inline>
        </w:drawing>
      </w:r>
      <w:r>
        <w:rPr>
          <w:rFonts w:hint="eastAsia"/>
          <w:sz w:val="24"/>
        </w:rPr>
        <w:t xml:space="preserve">     </w:t>
      </w:r>
    </w:p>
    <w:p>
      <w:pPr>
        <w:pStyle w:val="3"/>
        <w:pageBreakBefore w:val="0"/>
        <w:widowControl w:val="0"/>
        <w:kinsoku/>
        <w:wordWrap/>
        <w:overflowPunct/>
        <w:topLinePunct w:val="0"/>
        <w:autoSpaceDE/>
        <w:autoSpaceDN/>
        <w:bidi w:val="0"/>
        <w:adjustRightInd/>
        <w:snapToGrid/>
        <w:spacing w:before="0" w:after="0" w:line="360" w:lineRule="exact"/>
        <w:ind w:right="0" w:rightChars="0"/>
        <w:textAlignment w:val="auto"/>
        <w:rPr>
          <w:rFonts w:ascii="宋体" w:hAnsi="宋体"/>
        </w:rPr>
      </w:pPr>
      <w:bookmarkStart w:id="5" w:name="_Toc408843073"/>
      <w:r>
        <w:rPr>
          <w:rFonts w:hint="eastAsia"/>
          <w:sz w:val="21"/>
          <w:szCs w:val="21"/>
        </w:rPr>
        <w:t>3-3 安装方式：</w:t>
      </w:r>
      <w:bookmarkEnd w:id="5"/>
      <w:r>
        <w:rPr>
          <w:rFonts w:hint="eastAsia" w:ascii="宋体" w:hAnsi="宋体"/>
        </w:rPr>
        <w:t xml:space="preserve">     </w:t>
      </w:r>
    </w:p>
    <w:p>
      <w:pPr>
        <w:pageBreakBefore w:val="0"/>
        <w:widowControl w:val="0"/>
        <w:numPr>
          <w:ilvl w:val="0"/>
          <w:numId w:val="2"/>
        </w:numPr>
        <w:kinsoku/>
        <w:wordWrap/>
        <w:overflowPunct/>
        <w:topLinePunct w:val="0"/>
        <w:autoSpaceDE/>
        <w:autoSpaceDN/>
        <w:bidi w:val="0"/>
        <w:adjustRightInd/>
        <w:snapToGrid/>
        <w:spacing w:line="360" w:lineRule="exact"/>
        <w:ind w:right="0" w:rightChars="0"/>
        <w:textAlignment w:val="auto"/>
        <w:rPr>
          <w:rFonts w:ascii="宋体" w:hAnsi="宋体"/>
        </w:rPr>
      </w:pPr>
      <w:r>
        <w:rPr>
          <w:rFonts w:hint="eastAsia"/>
        </w:rPr>
        <w:t>探测器安装方式可采用抱管装、支架安装或贴壁安装，应确保安装牢固可靠。</w:t>
      </w:r>
    </w:p>
    <w:p>
      <w:pPr>
        <w:pageBreakBefore w:val="0"/>
        <w:widowControl w:val="0"/>
        <w:numPr>
          <w:ilvl w:val="0"/>
          <w:numId w:val="2"/>
        </w:numPr>
        <w:kinsoku/>
        <w:wordWrap/>
        <w:overflowPunct/>
        <w:topLinePunct w:val="0"/>
        <w:autoSpaceDE/>
        <w:autoSpaceDN/>
        <w:bidi w:val="0"/>
        <w:adjustRightInd/>
        <w:snapToGrid/>
        <w:spacing w:line="360" w:lineRule="exact"/>
        <w:ind w:right="0" w:rightChars="0"/>
        <w:textAlignment w:val="auto"/>
        <w:rPr>
          <w:rFonts w:ascii="宋体" w:hAnsi="宋体"/>
        </w:rPr>
      </w:pPr>
      <w:r>
        <w:rPr>
          <w:rFonts w:hint="eastAsia" w:ascii="宋体" w:hAnsi="宋体"/>
        </w:rPr>
        <w:t>安装固定孔直径为：Φ8mm</w:t>
      </w:r>
    </w:p>
    <w:p>
      <w:pPr>
        <w:pageBreakBefore w:val="0"/>
        <w:widowControl w:val="0"/>
        <w:numPr>
          <w:ilvl w:val="0"/>
          <w:numId w:val="2"/>
        </w:numPr>
        <w:kinsoku/>
        <w:wordWrap/>
        <w:overflowPunct/>
        <w:topLinePunct w:val="0"/>
        <w:autoSpaceDE/>
        <w:autoSpaceDN/>
        <w:bidi w:val="0"/>
        <w:adjustRightInd/>
        <w:snapToGrid/>
        <w:spacing w:line="360" w:lineRule="exact"/>
        <w:ind w:right="0" w:rightChars="0"/>
        <w:textAlignment w:val="auto"/>
        <w:rPr>
          <w:rFonts w:ascii="宋体" w:hAnsi="宋体"/>
        </w:rPr>
      </w:pPr>
      <w:r>
        <w:rPr>
          <w:rFonts w:hint="eastAsia" w:ascii="宋体" w:hAnsi="宋体"/>
        </w:rPr>
        <w:t>安装固定孔间距见上图（安装定位孔尺寸）</w:t>
      </w:r>
    </w:p>
    <w:p>
      <w:pPr>
        <w:pageBreakBefore w:val="0"/>
        <w:widowControl w:val="0"/>
        <w:numPr>
          <w:ilvl w:val="0"/>
          <w:numId w:val="2"/>
        </w:numPr>
        <w:kinsoku/>
        <w:wordWrap/>
        <w:overflowPunct/>
        <w:topLinePunct w:val="0"/>
        <w:autoSpaceDE/>
        <w:autoSpaceDN/>
        <w:bidi w:val="0"/>
        <w:adjustRightInd/>
        <w:snapToGrid/>
        <w:spacing w:line="360" w:lineRule="exact"/>
        <w:ind w:right="0" w:rightChars="0"/>
        <w:textAlignment w:val="auto"/>
        <w:rPr>
          <w:rFonts w:ascii="宋体" w:hAnsi="宋体"/>
        </w:rPr>
      </w:pPr>
      <w:r>
        <w:rPr>
          <w:rFonts w:hint="eastAsia"/>
        </w:rPr>
        <w:t>探测器安装时应使传感器朝下固定</w:t>
      </w:r>
    </w:p>
    <w:p>
      <w:pPr>
        <w:pageBreakBefore w:val="0"/>
        <w:widowControl w:val="0"/>
        <w:numPr>
          <w:ilvl w:val="0"/>
          <w:numId w:val="2"/>
        </w:numPr>
        <w:kinsoku/>
        <w:wordWrap/>
        <w:overflowPunct/>
        <w:topLinePunct w:val="0"/>
        <w:autoSpaceDE/>
        <w:autoSpaceDN/>
        <w:bidi w:val="0"/>
        <w:adjustRightInd/>
        <w:snapToGrid/>
        <w:spacing w:line="360" w:lineRule="exact"/>
        <w:ind w:right="0" w:rightChars="0"/>
        <w:textAlignment w:val="auto"/>
      </w:pPr>
      <w:r>
        <w:rPr>
          <w:rFonts w:hint="eastAsia" w:ascii="宋体" w:hAnsi="宋体"/>
        </w:rPr>
        <w:t>正确连线后，应完全盖好探测器外盖，以达到防爆要求</w:t>
      </w:r>
    </w:p>
    <w:p>
      <w:pPr>
        <w:pStyle w:val="3"/>
        <w:pageBreakBefore w:val="0"/>
        <w:widowControl w:val="0"/>
        <w:kinsoku/>
        <w:wordWrap/>
        <w:overflowPunct/>
        <w:topLinePunct w:val="0"/>
        <w:autoSpaceDE/>
        <w:autoSpaceDN/>
        <w:bidi w:val="0"/>
        <w:adjustRightInd/>
        <w:snapToGrid/>
        <w:spacing w:before="0" w:after="0" w:line="360" w:lineRule="exact"/>
        <w:ind w:right="0" w:rightChars="0"/>
        <w:textAlignment w:val="auto"/>
        <w:rPr>
          <w:sz w:val="21"/>
          <w:szCs w:val="21"/>
        </w:rPr>
      </w:pPr>
      <w:bookmarkStart w:id="6" w:name="_Toc408843074"/>
      <w:r>
        <w:rPr>
          <w:rFonts w:hint="eastAsia"/>
          <w:sz w:val="21"/>
          <w:szCs w:val="21"/>
        </w:rPr>
        <w:t>3-4 安装原则：</w:t>
      </w:r>
      <w:bookmarkEnd w:id="6"/>
    </w:p>
    <w:p>
      <w:pPr>
        <w:pageBreakBefore w:val="0"/>
        <w:widowControl w:val="0"/>
        <w:numPr>
          <w:ilvl w:val="0"/>
          <w:numId w:val="2"/>
        </w:numPr>
        <w:kinsoku/>
        <w:wordWrap/>
        <w:overflowPunct/>
        <w:topLinePunct w:val="0"/>
        <w:autoSpaceDE/>
        <w:autoSpaceDN/>
        <w:bidi w:val="0"/>
        <w:adjustRightInd/>
        <w:snapToGrid/>
        <w:spacing w:line="360" w:lineRule="exact"/>
        <w:ind w:right="0" w:rightChars="0"/>
        <w:textAlignment w:val="auto"/>
      </w:pPr>
      <w:r>
        <w:rPr>
          <w:rFonts w:hint="eastAsia"/>
        </w:rPr>
        <w:t xml:space="preserve">可燃气体探测器的有效覆盖水平半径，室内宜为7.5m；室外宜为15米。在有效覆盖面积内可设置一台探测器。 </w:t>
      </w:r>
    </w:p>
    <w:p>
      <w:pPr>
        <w:pageBreakBefore w:val="0"/>
        <w:widowControl w:val="0"/>
        <w:numPr>
          <w:ilvl w:val="0"/>
          <w:numId w:val="2"/>
        </w:numPr>
        <w:kinsoku/>
        <w:wordWrap/>
        <w:overflowPunct/>
        <w:topLinePunct w:val="0"/>
        <w:autoSpaceDE/>
        <w:autoSpaceDN/>
        <w:bidi w:val="0"/>
        <w:adjustRightInd/>
        <w:snapToGrid/>
        <w:spacing w:line="360" w:lineRule="exact"/>
        <w:ind w:right="0" w:rightChars="0"/>
        <w:textAlignment w:val="auto"/>
      </w:pPr>
      <w:r>
        <w:rPr>
          <w:rFonts w:hint="eastAsia"/>
        </w:rPr>
        <w:t>有毒气体探测器与释放源的距离，室外不易大于2米，室内不易大于1米。</w:t>
      </w:r>
    </w:p>
    <w:p>
      <w:pPr>
        <w:pageBreakBefore w:val="0"/>
        <w:widowControl w:val="0"/>
        <w:numPr>
          <w:ilvl w:val="0"/>
          <w:numId w:val="2"/>
        </w:numPr>
        <w:kinsoku/>
        <w:wordWrap/>
        <w:overflowPunct/>
        <w:topLinePunct w:val="0"/>
        <w:autoSpaceDE/>
        <w:autoSpaceDN/>
        <w:bidi w:val="0"/>
        <w:adjustRightInd/>
        <w:snapToGrid/>
        <w:spacing w:line="360" w:lineRule="exact"/>
        <w:ind w:right="0" w:rightChars="0"/>
        <w:textAlignment w:val="auto"/>
      </w:pPr>
      <w:r>
        <w:rPr>
          <w:rFonts w:hint="eastAsia"/>
        </w:rPr>
        <w:t>探测器选点应选择阀门、管道接口、出气口或易泄漏附近方圆1米的范围内，尽可能靠近，但不影响其他设备操作。</w:t>
      </w:r>
    </w:p>
    <w:p>
      <w:pPr>
        <w:pageBreakBefore w:val="0"/>
        <w:widowControl w:val="0"/>
        <w:numPr>
          <w:ilvl w:val="0"/>
          <w:numId w:val="2"/>
        </w:numPr>
        <w:kinsoku/>
        <w:wordWrap/>
        <w:overflowPunct/>
        <w:topLinePunct w:val="0"/>
        <w:autoSpaceDE/>
        <w:autoSpaceDN/>
        <w:bidi w:val="0"/>
        <w:adjustRightInd/>
        <w:snapToGrid/>
        <w:spacing w:line="360" w:lineRule="exact"/>
        <w:ind w:right="0" w:rightChars="0"/>
        <w:textAlignment w:val="auto"/>
      </w:pPr>
      <w:r>
        <w:rPr>
          <w:rFonts w:hint="eastAsia"/>
        </w:rPr>
        <w:t>探测器应安装在气体容易泄漏、易流经的场所，及容易滞留的场所，安装位置应根据被测气体的密度、安装现场气流方向、温度等各种条件来确定。</w:t>
      </w:r>
    </w:p>
    <w:p>
      <w:pPr>
        <w:pageBreakBefore w:val="0"/>
        <w:widowControl w:val="0"/>
        <w:numPr>
          <w:ilvl w:val="0"/>
          <w:numId w:val="2"/>
        </w:numPr>
        <w:kinsoku/>
        <w:wordWrap/>
        <w:overflowPunct/>
        <w:topLinePunct w:val="0"/>
        <w:autoSpaceDE/>
        <w:autoSpaceDN/>
        <w:bidi w:val="0"/>
        <w:adjustRightInd/>
        <w:snapToGrid/>
        <w:spacing w:line="360" w:lineRule="exact"/>
        <w:ind w:right="0" w:rightChars="0"/>
        <w:textAlignment w:val="auto"/>
      </w:pPr>
      <w:r>
        <w:rPr>
          <w:rFonts w:hint="eastAsia"/>
        </w:rPr>
        <w:t>检测甲烷、氢气等比空气轻的可燃和/或有毒气体时，其安装高度宜高出释放源0.5~2m，且释放源的水平距离宜小于5m。</w:t>
      </w:r>
    </w:p>
    <w:p>
      <w:pPr>
        <w:pageBreakBefore w:val="0"/>
        <w:widowControl w:val="0"/>
        <w:numPr>
          <w:ilvl w:val="0"/>
          <w:numId w:val="2"/>
        </w:numPr>
        <w:kinsoku/>
        <w:wordWrap/>
        <w:overflowPunct/>
        <w:topLinePunct w:val="0"/>
        <w:autoSpaceDE/>
        <w:autoSpaceDN/>
        <w:bidi w:val="0"/>
        <w:adjustRightInd/>
        <w:snapToGrid/>
        <w:spacing w:line="360" w:lineRule="exact"/>
        <w:ind w:right="0" w:rightChars="0"/>
        <w:textAlignment w:val="auto"/>
      </w:pPr>
      <w:r>
        <w:rPr>
          <w:rFonts w:hint="eastAsia"/>
        </w:rPr>
        <w:t>检测比空气重的可燃气体和／或有毒气体时，推荐探测器安装高度应高出地坪</w:t>
      </w:r>
      <w:r>
        <w:t>(</w:t>
      </w:r>
      <w:r>
        <w:rPr>
          <w:rFonts w:hint="eastAsia"/>
        </w:rPr>
        <w:t>或楼板面</w:t>
      </w:r>
      <w:r>
        <w:t>)</w:t>
      </w:r>
      <w:r>
        <w:rPr>
          <w:rFonts w:hint="eastAsia"/>
        </w:rPr>
        <w:t>0.3～0.6</w:t>
      </w:r>
      <w:r>
        <w:t>m</w:t>
      </w:r>
      <w:r>
        <w:rPr>
          <w:rFonts w:hint="eastAsia"/>
        </w:rPr>
        <w:t>，且与释放源的水平距离宜小于5m。安装过低易造成探测器进水；过高则超出了气体易于积聚的高度。</w:t>
      </w:r>
    </w:p>
    <w:p>
      <w:pPr>
        <w:pageBreakBefore w:val="0"/>
        <w:widowControl w:val="0"/>
        <w:numPr>
          <w:ilvl w:val="0"/>
          <w:numId w:val="2"/>
        </w:numPr>
        <w:kinsoku/>
        <w:wordWrap/>
        <w:overflowPunct/>
        <w:topLinePunct w:val="0"/>
        <w:autoSpaceDE/>
        <w:autoSpaceDN/>
        <w:bidi w:val="0"/>
        <w:adjustRightInd/>
        <w:snapToGrid/>
        <w:spacing w:line="360" w:lineRule="exact"/>
        <w:ind w:right="0" w:rightChars="0"/>
        <w:textAlignment w:val="auto"/>
      </w:pPr>
      <w:r>
        <w:rPr>
          <w:rFonts w:hint="eastAsia"/>
        </w:rPr>
        <w:t>检测与空气分子量接近且极易与空气混合的有毒气体</w:t>
      </w:r>
      <w:r>
        <w:t>(</w:t>
      </w:r>
      <w:r>
        <w:rPr>
          <w:rFonts w:hint="eastAsia"/>
        </w:rPr>
        <w:t>如一氧化碳</w:t>
      </w:r>
      <w:r>
        <w:t>)</w:t>
      </w:r>
      <w:r>
        <w:rPr>
          <w:rFonts w:hint="eastAsia"/>
        </w:rPr>
        <w:t>时，探测器应安装于距释放源上下</w:t>
      </w:r>
      <w:r>
        <w:t>1m</w:t>
      </w:r>
      <w:r>
        <w:rPr>
          <w:rFonts w:hint="eastAsia"/>
        </w:rPr>
        <w:t>的高度范围内；有毒气体比空气稍轻时，探测器安装于释放源上方，有毒气体比空气稍重时，探测器安装于释放源下方；探测器距释放源的水平距离不超过</w:t>
      </w:r>
      <w:r>
        <w:t>1m</w:t>
      </w:r>
      <w:r>
        <w:rPr>
          <w:rFonts w:hint="eastAsia"/>
        </w:rPr>
        <w:t xml:space="preserve">为宜。 </w:t>
      </w:r>
    </w:p>
    <w:p>
      <w:pPr>
        <w:pStyle w:val="3"/>
        <w:pageBreakBefore w:val="0"/>
        <w:widowControl w:val="0"/>
        <w:kinsoku/>
        <w:wordWrap/>
        <w:overflowPunct/>
        <w:topLinePunct w:val="0"/>
        <w:autoSpaceDE/>
        <w:autoSpaceDN/>
        <w:bidi w:val="0"/>
        <w:adjustRightInd/>
        <w:snapToGrid/>
        <w:spacing w:before="0" w:after="0" w:line="360" w:lineRule="exact"/>
        <w:ind w:right="0" w:rightChars="0"/>
        <w:textAlignment w:val="auto"/>
        <w:rPr>
          <w:sz w:val="21"/>
          <w:szCs w:val="21"/>
        </w:rPr>
      </w:pPr>
      <w:bookmarkStart w:id="7" w:name="_Toc408843075"/>
      <w:r>
        <w:rPr>
          <w:rFonts w:hint="eastAsia"/>
          <w:sz w:val="21"/>
          <w:szCs w:val="21"/>
        </w:rPr>
        <w:t>3-5 接线</w:t>
      </w:r>
      <w:bookmarkEnd w:id="7"/>
    </w:p>
    <w:tbl>
      <w:tblPr>
        <w:tblStyle w:val="12"/>
        <w:tblW w:w="6380" w:type="dxa"/>
        <w:tblInd w:w="108" w:type="dxa"/>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Layout w:type="fixed"/>
        <w:tblCellMar>
          <w:top w:w="0" w:type="dxa"/>
          <w:left w:w="108" w:type="dxa"/>
          <w:bottom w:w="0" w:type="dxa"/>
          <w:right w:w="108" w:type="dxa"/>
        </w:tblCellMar>
      </w:tblPr>
      <w:tblGrid>
        <w:gridCol w:w="1560"/>
        <w:gridCol w:w="1134"/>
        <w:gridCol w:w="1135"/>
        <w:gridCol w:w="2551"/>
      </w:tblGrid>
      <w:tr>
        <w:tblPrEx>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Layout w:type="fixed"/>
          <w:tblCellMar>
            <w:top w:w="0" w:type="dxa"/>
            <w:left w:w="108" w:type="dxa"/>
            <w:bottom w:w="0" w:type="dxa"/>
            <w:right w:w="108" w:type="dxa"/>
          </w:tblCellMar>
        </w:tblPrEx>
        <w:trPr>
          <w:trHeight w:val="274" w:hRule="atLeast"/>
        </w:trPr>
        <w:tc>
          <w:tcPr>
            <w:tcW w:w="156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center"/>
              <w:textAlignment w:val="auto"/>
              <w:rPr>
                <w:rFonts w:hint="default" w:ascii="宋体" w:hAnsi="宋体"/>
                <w:sz w:val="18"/>
              </w:rPr>
            </w:pPr>
            <w:r>
              <w:rPr>
                <w:rFonts w:hint="eastAsia" w:ascii="宋体" w:hAnsi="宋体"/>
                <w:sz w:val="18"/>
              </w:rPr>
              <w:t>气体报警控制器</w:t>
            </w:r>
          </w:p>
        </w:tc>
        <w:tc>
          <w:tcPr>
            <w:tcW w:w="11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center"/>
              <w:textAlignment w:val="auto"/>
              <w:rPr>
                <w:rFonts w:hint="default" w:ascii="宋体" w:hAnsi="宋体"/>
                <w:sz w:val="18"/>
              </w:rPr>
            </w:pPr>
          </w:p>
        </w:tc>
        <w:tc>
          <w:tcPr>
            <w:tcW w:w="113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center"/>
              <w:textAlignment w:val="auto"/>
              <w:rPr>
                <w:rFonts w:hint="default" w:ascii="宋体" w:hAnsi="宋体"/>
                <w:sz w:val="18"/>
              </w:rPr>
            </w:pPr>
            <w:r>
              <w:rPr>
                <w:rFonts w:hint="eastAsia" w:ascii="宋体" w:hAnsi="宋体"/>
                <w:sz w:val="18"/>
              </w:rPr>
              <w:t>气体探测器</w:t>
            </w:r>
          </w:p>
        </w:tc>
        <w:tc>
          <w:tcPr>
            <w:tcW w:w="255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center"/>
              <w:textAlignment w:val="auto"/>
              <w:rPr>
                <w:rFonts w:hint="default" w:ascii="宋体" w:hAnsi="宋体"/>
                <w:sz w:val="18"/>
              </w:rPr>
            </w:pPr>
            <w:r>
              <w:rPr>
                <w:rFonts w:hint="eastAsia" w:ascii="宋体" w:hAnsi="宋体"/>
                <w:sz w:val="18"/>
              </w:rPr>
              <w:t>备注</w:t>
            </w:r>
          </w:p>
        </w:tc>
      </w:tr>
      <w:tr>
        <w:tblPrEx>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Layout w:type="fixed"/>
          <w:tblCellMar>
            <w:top w:w="0" w:type="dxa"/>
            <w:left w:w="108" w:type="dxa"/>
            <w:bottom w:w="0" w:type="dxa"/>
            <w:right w:w="108" w:type="dxa"/>
          </w:tblCellMar>
        </w:tblPrEx>
        <w:trPr>
          <w:trHeight w:val="274" w:hRule="atLeast"/>
        </w:trPr>
        <w:tc>
          <w:tcPr>
            <w:tcW w:w="156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center"/>
              <w:textAlignment w:val="auto"/>
              <w:rPr>
                <w:rFonts w:hint="default" w:ascii="宋体" w:hAnsi="宋体"/>
                <w:sz w:val="18"/>
              </w:rPr>
            </w:pPr>
            <w:r>
              <w:rPr>
                <w:rFonts w:hint="eastAsia" w:ascii="宋体" w:hAnsi="宋体"/>
                <w:sz w:val="18"/>
                <w:lang w:val="en-US" w:eastAsia="zh-CN"/>
              </w:rPr>
              <w:t>P</w:t>
            </w:r>
            <w:r>
              <w:rPr>
                <w:rFonts w:hint="eastAsia" w:ascii="宋体" w:hAnsi="宋体"/>
                <w:sz w:val="18"/>
              </w:rPr>
              <w:t>+</w:t>
            </w:r>
          </w:p>
        </w:tc>
        <w:tc>
          <w:tcPr>
            <w:tcW w:w="11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center"/>
              <w:textAlignment w:val="auto"/>
              <w:rPr>
                <w:rFonts w:hint="default" w:ascii="宋体" w:hAnsi="宋体"/>
                <w:sz w:val="18"/>
              </w:rPr>
            </w:pPr>
            <w:r>
              <w:rPr>
                <w:rFonts w:hint="eastAsia" w:ascii="宋体" w:hAnsi="宋体"/>
                <w:sz w:val="18"/>
              </w:rPr>
              <w:t>————</w:t>
            </w:r>
          </w:p>
        </w:tc>
        <w:tc>
          <w:tcPr>
            <w:tcW w:w="113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center"/>
              <w:textAlignment w:val="auto"/>
              <w:rPr>
                <w:rFonts w:hint="default" w:ascii="宋体" w:hAnsi="宋体"/>
                <w:sz w:val="18"/>
              </w:rPr>
            </w:pPr>
            <w:r>
              <w:rPr>
                <w:rFonts w:hint="eastAsia" w:ascii="宋体" w:hAnsi="宋体"/>
                <w:sz w:val="18"/>
                <w:lang w:val="en-US" w:eastAsia="zh-CN"/>
              </w:rPr>
              <w:t>P</w:t>
            </w:r>
            <w:r>
              <w:rPr>
                <w:rFonts w:hint="eastAsia" w:ascii="宋体" w:hAnsi="宋体"/>
                <w:sz w:val="18"/>
              </w:rPr>
              <w:t>+</w:t>
            </w:r>
          </w:p>
        </w:tc>
        <w:tc>
          <w:tcPr>
            <w:tcW w:w="2551"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textAlignment w:val="auto"/>
              <w:rPr>
                <w:rFonts w:hint="eastAsia" w:ascii="宋体" w:hAnsi="宋体"/>
                <w:sz w:val="18"/>
              </w:rPr>
            </w:pPr>
            <w:r>
              <w:rPr>
                <w:rFonts w:hint="eastAsia" w:ascii="宋体" w:hAnsi="宋体"/>
                <w:sz w:val="18"/>
              </w:rPr>
              <w:t>连接线缆采用RV</w:t>
            </w:r>
            <w:r>
              <w:rPr>
                <w:rFonts w:hint="eastAsia" w:ascii="宋体" w:hAnsi="宋体"/>
                <w:sz w:val="18"/>
                <w:lang w:val="en-US" w:eastAsia="zh-CN"/>
              </w:rPr>
              <w:t>V3</w:t>
            </w:r>
            <w:r>
              <w:rPr>
                <w:rFonts w:hint="eastAsia" w:ascii="宋体" w:hAnsi="宋体"/>
                <w:sz w:val="18"/>
              </w:rPr>
              <w:t>×</w:t>
            </w:r>
            <w:r>
              <w:rPr>
                <w:rFonts w:hint="eastAsia" w:ascii="宋体" w:hAnsi="宋体"/>
                <w:sz w:val="18"/>
                <w:lang w:val="en-US" w:eastAsia="zh-CN"/>
              </w:rPr>
              <w:t>1</w:t>
            </w:r>
            <w:r>
              <w:rPr>
                <w:rFonts w:hint="eastAsia" w:ascii="宋体" w:hAnsi="宋体"/>
                <w:sz w:val="18"/>
              </w:rPr>
              <w:t>.5mm</w:t>
            </w:r>
            <w:r>
              <w:rPr>
                <w:rFonts w:hint="eastAsia" w:ascii="宋体" w:hAnsi="宋体"/>
                <w:sz w:val="18"/>
                <w:vertAlign w:val="superscript"/>
              </w:rPr>
              <w:t>2</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textAlignment w:val="auto"/>
              <w:rPr>
                <w:rFonts w:hint="default" w:ascii="宋体" w:hAnsi="宋体"/>
                <w:sz w:val="18"/>
              </w:rPr>
            </w:pPr>
          </w:p>
        </w:tc>
      </w:tr>
      <w:tr>
        <w:tblPrEx>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Layout w:type="fixed"/>
          <w:tblCellMar>
            <w:top w:w="0" w:type="dxa"/>
            <w:left w:w="108" w:type="dxa"/>
            <w:bottom w:w="0" w:type="dxa"/>
            <w:right w:w="108" w:type="dxa"/>
          </w:tblCellMar>
        </w:tblPrEx>
        <w:trPr>
          <w:trHeight w:val="274" w:hRule="atLeast"/>
        </w:trPr>
        <w:tc>
          <w:tcPr>
            <w:tcW w:w="156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center"/>
              <w:textAlignment w:val="auto"/>
              <w:rPr>
                <w:rFonts w:hint="default" w:ascii="宋体" w:hAnsi="宋体"/>
                <w:sz w:val="18"/>
              </w:rPr>
            </w:pPr>
            <w:r>
              <w:rPr>
                <w:rFonts w:hint="eastAsia" w:ascii="宋体" w:hAnsi="宋体"/>
                <w:sz w:val="18"/>
                <w:lang w:val="en-US" w:eastAsia="zh-CN"/>
              </w:rPr>
              <w:t>P</w:t>
            </w:r>
            <w:r>
              <w:rPr>
                <w:rFonts w:hint="eastAsia" w:ascii="宋体" w:hAnsi="宋体"/>
                <w:sz w:val="18"/>
              </w:rPr>
              <w:t>-</w:t>
            </w:r>
          </w:p>
        </w:tc>
        <w:tc>
          <w:tcPr>
            <w:tcW w:w="11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center"/>
              <w:textAlignment w:val="auto"/>
              <w:rPr>
                <w:rFonts w:hint="default" w:ascii="宋体" w:hAnsi="宋体"/>
                <w:sz w:val="18"/>
              </w:rPr>
            </w:pPr>
            <w:r>
              <w:rPr>
                <w:rFonts w:hint="eastAsia" w:ascii="宋体" w:hAnsi="宋体"/>
                <w:sz w:val="18"/>
              </w:rPr>
              <w:t>————</w:t>
            </w:r>
          </w:p>
        </w:tc>
        <w:tc>
          <w:tcPr>
            <w:tcW w:w="113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center"/>
              <w:textAlignment w:val="auto"/>
              <w:rPr>
                <w:rFonts w:hint="default" w:ascii="宋体" w:hAnsi="宋体"/>
                <w:sz w:val="18"/>
              </w:rPr>
            </w:pPr>
            <w:r>
              <w:rPr>
                <w:rFonts w:hint="eastAsia" w:ascii="宋体" w:hAnsi="宋体"/>
                <w:sz w:val="18"/>
                <w:lang w:val="en-US" w:eastAsia="zh-CN"/>
              </w:rPr>
              <w:t>P</w:t>
            </w:r>
            <w:r>
              <w:rPr>
                <w:rFonts w:hint="eastAsia" w:ascii="宋体" w:hAnsi="宋体"/>
                <w:sz w:val="18"/>
              </w:rPr>
              <w:t>-</w:t>
            </w:r>
          </w:p>
        </w:tc>
        <w:tc>
          <w:tcPr>
            <w:tcW w:w="2551"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textAlignment w:val="auto"/>
              <w:rPr>
                <w:rFonts w:hint="default" w:ascii="宋体" w:hAnsi="宋体"/>
                <w:sz w:val="18"/>
              </w:rPr>
            </w:pPr>
          </w:p>
        </w:tc>
      </w:tr>
      <w:tr>
        <w:tblPrEx>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Layout w:type="fixed"/>
          <w:tblCellMar>
            <w:top w:w="0" w:type="dxa"/>
            <w:left w:w="108" w:type="dxa"/>
            <w:bottom w:w="0" w:type="dxa"/>
            <w:right w:w="108" w:type="dxa"/>
          </w:tblCellMar>
        </w:tblPrEx>
        <w:trPr>
          <w:trHeight w:val="274" w:hRule="atLeast"/>
        </w:trPr>
        <w:tc>
          <w:tcPr>
            <w:tcW w:w="156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center"/>
              <w:textAlignment w:val="auto"/>
              <w:rPr>
                <w:rFonts w:hint="eastAsia" w:ascii="宋体" w:hAnsi="宋体" w:eastAsia="宋体"/>
                <w:sz w:val="18"/>
                <w:lang w:eastAsia="zh-CN"/>
              </w:rPr>
            </w:pPr>
            <w:r>
              <w:rPr>
                <w:rFonts w:hint="eastAsia" w:ascii="宋体" w:hAnsi="宋体"/>
                <w:sz w:val="18"/>
                <w:lang w:val="en-US" w:eastAsia="zh-CN"/>
              </w:rPr>
              <w:t>SIN</w:t>
            </w:r>
          </w:p>
        </w:tc>
        <w:tc>
          <w:tcPr>
            <w:tcW w:w="11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center"/>
              <w:textAlignment w:val="auto"/>
              <w:rPr>
                <w:rFonts w:hint="default" w:ascii="宋体" w:hAnsi="宋体"/>
                <w:sz w:val="18"/>
              </w:rPr>
            </w:pPr>
            <w:r>
              <w:rPr>
                <w:rFonts w:hint="eastAsia" w:ascii="宋体" w:hAnsi="宋体"/>
                <w:sz w:val="18"/>
              </w:rPr>
              <w:t>————</w:t>
            </w:r>
          </w:p>
        </w:tc>
        <w:tc>
          <w:tcPr>
            <w:tcW w:w="113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center"/>
              <w:textAlignment w:val="auto"/>
              <w:rPr>
                <w:rFonts w:hint="eastAsia" w:ascii="宋体" w:hAnsi="宋体" w:eastAsia="宋体"/>
                <w:sz w:val="18"/>
                <w:lang w:eastAsia="zh-CN"/>
              </w:rPr>
            </w:pPr>
            <w:r>
              <w:rPr>
                <w:rFonts w:hint="eastAsia" w:ascii="宋体" w:hAnsi="宋体"/>
                <w:sz w:val="18"/>
                <w:lang w:val="en-US" w:eastAsia="zh-CN"/>
              </w:rPr>
              <w:t>SIN</w:t>
            </w:r>
          </w:p>
        </w:tc>
        <w:tc>
          <w:tcPr>
            <w:tcW w:w="2551"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textAlignment w:val="auto"/>
              <w:rPr>
                <w:rFonts w:hint="default" w:ascii="宋体" w:hAnsi="宋体"/>
                <w:sz w:val="18"/>
              </w:rPr>
            </w:pPr>
          </w:p>
        </w:tc>
      </w:tr>
    </w:tbl>
    <w:p>
      <w:pPr>
        <w:pageBreakBefore w:val="0"/>
        <w:widowControl w:val="0"/>
        <w:kinsoku/>
        <w:wordWrap/>
        <w:overflowPunct/>
        <w:topLinePunct w:val="0"/>
        <w:autoSpaceDE/>
        <w:autoSpaceDN/>
        <w:bidi w:val="0"/>
        <w:adjustRightInd/>
        <w:snapToGrid/>
        <w:spacing w:line="360" w:lineRule="exact"/>
        <w:ind w:right="0" w:rightChars="0"/>
        <w:textAlignment w:val="auto"/>
        <w:rPr>
          <w:b/>
          <w:sz w:val="24"/>
        </w:rPr>
      </w:pPr>
    </w:p>
    <w:p>
      <w:pPr>
        <w:pStyle w:val="2"/>
        <w:pageBreakBefore w:val="0"/>
        <w:widowControl w:val="0"/>
        <w:kinsoku/>
        <w:wordWrap/>
        <w:overflowPunct/>
        <w:topLinePunct w:val="0"/>
        <w:autoSpaceDE/>
        <w:autoSpaceDN/>
        <w:bidi w:val="0"/>
        <w:adjustRightInd/>
        <w:snapToGrid/>
        <w:spacing w:line="360" w:lineRule="exact"/>
        <w:ind w:right="0" w:rightChars="0"/>
        <w:jc w:val="both"/>
        <w:textAlignment w:val="auto"/>
      </w:pPr>
      <w:bookmarkStart w:id="8" w:name="_Toc408843076"/>
      <w:r>
        <w:rPr>
          <w:rFonts w:hint="eastAsia"/>
        </w:rPr>
        <w:t>产品维护及注意事项</w:t>
      </w:r>
      <w:bookmarkEnd w:id="8"/>
      <w:r>
        <w:rPr>
          <w:rFonts w:hint="eastAsia"/>
        </w:rPr>
        <w:t xml:space="preserve">  </w:t>
      </w:r>
    </w:p>
    <w:p>
      <w:pPr>
        <w:pageBreakBefore w:val="0"/>
        <w:widowControl w:val="0"/>
        <w:numPr>
          <w:ilvl w:val="0"/>
          <w:numId w:val="3"/>
        </w:numPr>
        <w:kinsoku/>
        <w:wordWrap/>
        <w:overflowPunct/>
        <w:topLinePunct w:val="0"/>
        <w:autoSpaceDE/>
        <w:autoSpaceDN/>
        <w:bidi w:val="0"/>
        <w:adjustRightInd/>
        <w:snapToGrid/>
        <w:spacing w:line="360" w:lineRule="exact"/>
        <w:ind w:right="0" w:rightChars="0"/>
        <w:jc w:val="both"/>
        <w:textAlignment w:val="auto"/>
        <w:rPr>
          <w:rFonts w:ascii="宋体" w:hAnsi="宋体"/>
          <w:szCs w:val="21"/>
        </w:rPr>
      </w:pPr>
      <w:r>
        <w:rPr>
          <w:rFonts w:hint="eastAsia" w:ascii="宋体" w:hAnsi="宋体"/>
          <w:szCs w:val="21"/>
        </w:rPr>
        <w:t>探测器安装调试完毕后，请勿随意挪动位置；</w:t>
      </w:r>
    </w:p>
    <w:p>
      <w:pPr>
        <w:pageBreakBefore w:val="0"/>
        <w:widowControl w:val="0"/>
        <w:numPr>
          <w:ilvl w:val="0"/>
          <w:numId w:val="3"/>
        </w:numPr>
        <w:kinsoku/>
        <w:wordWrap/>
        <w:overflowPunct/>
        <w:topLinePunct w:val="0"/>
        <w:autoSpaceDE/>
        <w:autoSpaceDN/>
        <w:bidi w:val="0"/>
        <w:adjustRightInd/>
        <w:snapToGrid/>
        <w:spacing w:line="360" w:lineRule="exact"/>
        <w:ind w:right="0" w:rightChars="0"/>
        <w:jc w:val="both"/>
        <w:textAlignment w:val="auto"/>
        <w:rPr>
          <w:rFonts w:ascii="宋体" w:hAnsi="宋体"/>
          <w:szCs w:val="21"/>
        </w:rPr>
      </w:pPr>
      <w:r>
        <w:rPr>
          <w:rFonts w:hint="eastAsia" w:ascii="宋体" w:hAnsi="宋体"/>
          <w:szCs w:val="21"/>
        </w:rPr>
        <w:t>探测器出厂前经过了严格的标定，请不要随意更换元器件，如需更换，请联系厂家；</w:t>
      </w:r>
    </w:p>
    <w:p>
      <w:pPr>
        <w:pageBreakBefore w:val="0"/>
        <w:widowControl w:val="0"/>
        <w:numPr>
          <w:ilvl w:val="0"/>
          <w:numId w:val="3"/>
        </w:numPr>
        <w:kinsoku/>
        <w:wordWrap/>
        <w:overflowPunct/>
        <w:topLinePunct w:val="0"/>
        <w:autoSpaceDE/>
        <w:autoSpaceDN/>
        <w:bidi w:val="0"/>
        <w:adjustRightInd/>
        <w:snapToGrid/>
        <w:spacing w:line="360" w:lineRule="exact"/>
        <w:ind w:right="0" w:rightChars="0"/>
        <w:jc w:val="both"/>
        <w:textAlignment w:val="auto"/>
        <w:rPr>
          <w:rFonts w:ascii="宋体" w:hAnsi="宋体"/>
          <w:szCs w:val="21"/>
        </w:rPr>
      </w:pPr>
      <w:r>
        <w:rPr>
          <w:rFonts w:hint="eastAsia" w:ascii="宋体" w:hAnsi="宋体"/>
          <w:szCs w:val="21"/>
        </w:rPr>
        <w:t>探测器的传感器使用寿命正常情况下为两年，存储寿命3年；因使用环境的不同，其使用寿命有可能下降，应每年定期进行检测维护；</w:t>
      </w:r>
    </w:p>
    <w:p>
      <w:pPr>
        <w:pageBreakBefore w:val="0"/>
        <w:widowControl w:val="0"/>
        <w:numPr>
          <w:ilvl w:val="0"/>
          <w:numId w:val="3"/>
        </w:numPr>
        <w:kinsoku/>
        <w:wordWrap/>
        <w:overflowPunct/>
        <w:topLinePunct w:val="0"/>
        <w:autoSpaceDE/>
        <w:autoSpaceDN/>
        <w:bidi w:val="0"/>
        <w:adjustRightInd/>
        <w:snapToGrid/>
        <w:spacing w:line="360" w:lineRule="exact"/>
        <w:ind w:right="0" w:rightChars="0"/>
        <w:jc w:val="both"/>
        <w:textAlignment w:val="auto"/>
        <w:rPr>
          <w:rFonts w:ascii="宋体" w:hAnsi="宋体"/>
          <w:szCs w:val="21"/>
        </w:rPr>
      </w:pPr>
      <w:r>
        <w:rPr>
          <w:rFonts w:hint="eastAsia" w:ascii="宋体" w:hAnsi="宋体"/>
          <w:szCs w:val="21"/>
        </w:rPr>
        <w:t>传感器禁止高浓度气体的冲击，这样可能损坏传感器；</w:t>
      </w:r>
    </w:p>
    <w:p>
      <w:pPr>
        <w:pageBreakBefore w:val="0"/>
        <w:widowControl w:val="0"/>
        <w:numPr>
          <w:ilvl w:val="0"/>
          <w:numId w:val="3"/>
        </w:numPr>
        <w:kinsoku/>
        <w:wordWrap/>
        <w:overflowPunct/>
        <w:topLinePunct w:val="0"/>
        <w:autoSpaceDE/>
        <w:autoSpaceDN/>
        <w:bidi w:val="0"/>
        <w:adjustRightInd/>
        <w:snapToGrid/>
        <w:spacing w:line="360" w:lineRule="exact"/>
        <w:ind w:right="0" w:rightChars="0"/>
        <w:jc w:val="both"/>
        <w:textAlignment w:val="auto"/>
        <w:rPr>
          <w:rFonts w:ascii="宋体" w:hAnsi="宋体"/>
          <w:szCs w:val="21"/>
        </w:rPr>
      </w:pPr>
      <w:r>
        <w:rPr>
          <w:rFonts w:hint="eastAsia" w:ascii="宋体" w:hAnsi="宋体"/>
          <w:szCs w:val="21"/>
        </w:rPr>
        <w:t>避免探测器经常断电，经常性的断电会导致检测元件工作的不稳定；</w:t>
      </w:r>
    </w:p>
    <w:p>
      <w:pPr>
        <w:pageBreakBefore w:val="0"/>
        <w:widowControl w:val="0"/>
        <w:numPr>
          <w:ilvl w:val="0"/>
          <w:numId w:val="3"/>
        </w:numPr>
        <w:kinsoku/>
        <w:wordWrap/>
        <w:overflowPunct/>
        <w:topLinePunct w:val="0"/>
        <w:autoSpaceDE/>
        <w:autoSpaceDN/>
        <w:bidi w:val="0"/>
        <w:adjustRightInd/>
        <w:snapToGrid/>
        <w:spacing w:line="360" w:lineRule="exact"/>
        <w:ind w:right="0" w:rightChars="0"/>
        <w:jc w:val="both"/>
        <w:textAlignment w:val="auto"/>
        <w:rPr>
          <w:rFonts w:ascii="宋体" w:hAnsi="宋体"/>
          <w:szCs w:val="21"/>
        </w:rPr>
      </w:pPr>
      <w:r>
        <w:rPr>
          <w:rFonts w:hint="eastAsia" w:ascii="宋体" w:hAnsi="宋体"/>
          <w:szCs w:val="21"/>
        </w:rPr>
        <w:t>定期检查探测器的性能及状态，查周期至少每三个月一次。安装现场环境恶劣的，检测时应重点检查探测器的外盒与通讯线缆是否被腐蚀，安装固定是否依然牢固。传感器金属进气片是否被堵塞，应及时清理以免影响气体的扩散。</w:t>
      </w:r>
    </w:p>
    <w:p>
      <w:pPr>
        <w:pStyle w:val="2"/>
        <w:pageBreakBefore w:val="0"/>
        <w:widowControl w:val="0"/>
        <w:kinsoku/>
        <w:wordWrap/>
        <w:overflowPunct/>
        <w:topLinePunct w:val="0"/>
        <w:autoSpaceDE/>
        <w:autoSpaceDN/>
        <w:bidi w:val="0"/>
        <w:adjustRightInd/>
        <w:snapToGrid/>
        <w:spacing w:line="360" w:lineRule="exact"/>
        <w:ind w:right="0" w:rightChars="0"/>
        <w:jc w:val="both"/>
        <w:textAlignment w:val="auto"/>
      </w:pPr>
      <w:bookmarkStart w:id="9" w:name="_Toc408843077"/>
      <w:r>
        <w:rPr>
          <w:rFonts w:hint="eastAsia"/>
        </w:rPr>
        <w:t>故障排除</w:t>
      </w:r>
      <w:bookmarkEnd w:id="9"/>
    </w:p>
    <w:p>
      <w:pPr>
        <w:pageBreakBefore w:val="0"/>
        <w:widowControl w:val="0"/>
        <w:kinsoku/>
        <w:wordWrap/>
        <w:overflowPunct/>
        <w:topLinePunct w:val="0"/>
        <w:autoSpaceDE/>
        <w:autoSpaceDN/>
        <w:bidi w:val="0"/>
        <w:adjustRightInd/>
        <w:snapToGrid/>
        <w:spacing w:line="360" w:lineRule="exact"/>
        <w:ind w:right="0" w:rightChars="0"/>
        <w:jc w:val="both"/>
        <w:textAlignment w:val="auto"/>
        <w:rPr>
          <w:rFonts w:ascii="宋体" w:hAnsi="宋体"/>
          <w:szCs w:val="21"/>
        </w:rPr>
      </w:pPr>
      <w:r>
        <w:rPr>
          <w:rFonts w:hint="eastAsia" w:ascii="宋体" w:hAnsi="宋体"/>
          <w:szCs w:val="21"/>
        </w:rPr>
        <w:t>打开探测器上盖后首先确认供电电压是否正常，然后参考下列现象相应处理：</w:t>
      </w:r>
    </w:p>
    <w:tbl>
      <w:tblPr>
        <w:tblStyle w:val="12"/>
        <w:tblpPr w:leftFromText="180" w:rightFromText="180" w:vertAnchor="text" w:tblpY="1"/>
        <w:tblOverlap w:val="never"/>
        <w:tblW w:w="63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4"/>
        <w:gridCol w:w="1310"/>
        <w:gridCol w:w="2732"/>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24" w:type="dxa"/>
          </w:tcPr>
          <w:p>
            <w:pPr>
              <w:keepNext w:val="0"/>
              <w:keepLines w:val="0"/>
              <w:suppressLineNumbers w:val="0"/>
              <w:spacing w:before="0" w:beforeAutospacing="0" w:after="0" w:afterAutospacing="0" w:line="240" w:lineRule="auto"/>
              <w:ind w:left="0" w:right="0"/>
              <w:jc w:val="center"/>
              <w:rPr>
                <w:rFonts w:hint="default" w:ascii="宋体" w:hAnsi="宋体"/>
                <w:b/>
                <w:sz w:val="18"/>
                <w:szCs w:val="21"/>
              </w:rPr>
            </w:pPr>
            <w:r>
              <w:rPr>
                <w:rFonts w:hint="eastAsia" w:ascii="宋体" w:hAnsi="宋体"/>
                <w:b/>
                <w:sz w:val="18"/>
                <w:szCs w:val="21"/>
              </w:rPr>
              <w:t>故障现象</w:t>
            </w:r>
          </w:p>
        </w:tc>
        <w:tc>
          <w:tcPr>
            <w:tcW w:w="1310" w:type="dxa"/>
          </w:tcPr>
          <w:p>
            <w:pPr>
              <w:keepNext w:val="0"/>
              <w:keepLines w:val="0"/>
              <w:suppressLineNumbers w:val="0"/>
              <w:spacing w:before="0" w:beforeAutospacing="0" w:after="0" w:afterAutospacing="0" w:line="240" w:lineRule="auto"/>
              <w:ind w:left="0" w:right="0"/>
              <w:jc w:val="center"/>
              <w:rPr>
                <w:rFonts w:hint="default" w:ascii="宋体" w:hAnsi="宋体"/>
                <w:b/>
                <w:sz w:val="18"/>
                <w:szCs w:val="21"/>
              </w:rPr>
            </w:pPr>
            <w:r>
              <w:rPr>
                <w:rFonts w:hint="eastAsia" w:ascii="宋体" w:hAnsi="宋体"/>
                <w:b/>
                <w:sz w:val="18"/>
                <w:szCs w:val="21"/>
              </w:rPr>
              <w:t>原因分析</w:t>
            </w:r>
          </w:p>
        </w:tc>
        <w:tc>
          <w:tcPr>
            <w:tcW w:w="2732" w:type="dxa"/>
          </w:tcPr>
          <w:p>
            <w:pPr>
              <w:keepNext w:val="0"/>
              <w:keepLines w:val="0"/>
              <w:suppressLineNumbers w:val="0"/>
              <w:spacing w:before="0" w:beforeAutospacing="0" w:after="0" w:afterAutospacing="0" w:line="240" w:lineRule="auto"/>
              <w:ind w:left="0" w:right="0"/>
              <w:jc w:val="center"/>
              <w:rPr>
                <w:rFonts w:hint="default" w:ascii="宋体" w:hAnsi="宋体"/>
                <w:b/>
                <w:sz w:val="18"/>
                <w:szCs w:val="21"/>
              </w:rPr>
            </w:pPr>
            <w:r>
              <w:rPr>
                <w:rFonts w:hint="eastAsia" w:ascii="宋体" w:hAnsi="宋体"/>
                <w:b/>
                <w:sz w:val="18"/>
                <w:szCs w:val="21"/>
              </w:rPr>
              <w:t>排除方法</w:t>
            </w:r>
          </w:p>
        </w:tc>
        <w:tc>
          <w:tcPr>
            <w:tcW w:w="901" w:type="dxa"/>
          </w:tcPr>
          <w:p>
            <w:pPr>
              <w:keepNext w:val="0"/>
              <w:keepLines w:val="0"/>
              <w:suppressLineNumbers w:val="0"/>
              <w:spacing w:before="0" w:beforeAutospacing="0" w:after="0" w:afterAutospacing="0" w:line="240" w:lineRule="auto"/>
              <w:ind w:left="0" w:right="0"/>
              <w:jc w:val="center"/>
              <w:rPr>
                <w:rFonts w:hint="default" w:ascii="宋体" w:hAnsi="宋体"/>
                <w:b/>
                <w:sz w:val="18"/>
                <w:szCs w:val="21"/>
              </w:rPr>
            </w:pPr>
            <w:r>
              <w:rPr>
                <w:rFonts w:hint="eastAsia" w:ascii="宋体" w:hAnsi="宋体"/>
                <w:b/>
                <w:sz w:val="18"/>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24" w:type="dxa"/>
            <w:vAlign w:val="center"/>
          </w:tcPr>
          <w:p>
            <w:pPr>
              <w:keepNext w:val="0"/>
              <w:keepLines w:val="0"/>
              <w:suppressLineNumbers w:val="0"/>
              <w:spacing w:before="0" w:beforeAutospacing="0" w:after="0" w:afterAutospacing="0" w:line="240" w:lineRule="auto"/>
              <w:ind w:left="0" w:right="0"/>
              <w:jc w:val="left"/>
              <w:rPr>
                <w:rFonts w:hint="default" w:ascii="宋体" w:hAnsi="宋体"/>
                <w:sz w:val="18"/>
                <w:szCs w:val="21"/>
              </w:rPr>
            </w:pPr>
            <w:r>
              <w:rPr>
                <w:rFonts w:hint="eastAsia" w:ascii="宋体" w:hAnsi="宋体"/>
                <w:sz w:val="18"/>
                <w:szCs w:val="21"/>
              </w:rPr>
              <w:t>显示“E1”</w:t>
            </w:r>
          </w:p>
        </w:tc>
        <w:tc>
          <w:tcPr>
            <w:tcW w:w="1310" w:type="dxa"/>
            <w:vAlign w:val="center"/>
          </w:tcPr>
          <w:p>
            <w:pPr>
              <w:keepNext w:val="0"/>
              <w:keepLines w:val="0"/>
              <w:suppressLineNumbers w:val="0"/>
              <w:spacing w:before="0" w:beforeAutospacing="0" w:after="0" w:afterAutospacing="0" w:line="240" w:lineRule="auto"/>
              <w:ind w:left="0" w:right="0"/>
              <w:jc w:val="left"/>
              <w:rPr>
                <w:rFonts w:hint="default" w:ascii="宋体" w:hAnsi="宋体"/>
                <w:sz w:val="18"/>
                <w:szCs w:val="21"/>
              </w:rPr>
            </w:pPr>
            <w:r>
              <w:rPr>
                <w:rFonts w:hint="eastAsia" w:ascii="宋体" w:hAnsi="宋体"/>
                <w:sz w:val="18"/>
                <w:szCs w:val="21"/>
              </w:rPr>
              <w:t>传感器故障</w:t>
            </w:r>
          </w:p>
        </w:tc>
        <w:tc>
          <w:tcPr>
            <w:tcW w:w="2732" w:type="dxa"/>
            <w:vAlign w:val="center"/>
          </w:tcPr>
          <w:p>
            <w:pPr>
              <w:keepNext w:val="0"/>
              <w:keepLines w:val="0"/>
              <w:suppressLineNumbers w:val="0"/>
              <w:spacing w:before="0" w:beforeAutospacing="0" w:after="0" w:afterAutospacing="0" w:line="240" w:lineRule="auto"/>
              <w:ind w:left="0" w:right="0"/>
              <w:jc w:val="left"/>
              <w:rPr>
                <w:rFonts w:hint="default" w:ascii="宋体" w:hAnsi="宋体"/>
                <w:sz w:val="18"/>
                <w:szCs w:val="21"/>
              </w:rPr>
            </w:pPr>
            <w:r>
              <w:rPr>
                <w:rFonts w:hint="eastAsia" w:ascii="宋体" w:hAnsi="宋体"/>
                <w:sz w:val="18"/>
                <w:szCs w:val="21"/>
              </w:rPr>
              <w:t>1、传感器接插件重新连接</w:t>
            </w:r>
          </w:p>
          <w:p>
            <w:pPr>
              <w:keepNext w:val="0"/>
              <w:keepLines w:val="0"/>
              <w:suppressLineNumbers w:val="0"/>
              <w:spacing w:before="0" w:beforeAutospacing="0" w:after="0" w:afterAutospacing="0" w:line="240" w:lineRule="auto"/>
              <w:ind w:left="0" w:right="0"/>
              <w:jc w:val="left"/>
              <w:rPr>
                <w:rFonts w:hint="default" w:ascii="宋体" w:hAnsi="宋体"/>
                <w:b/>
                <w:sz w:val="18"/>
                <w:szCs w:val="21"/>
              </w:rPr>
            </w:pPr>
            <w:r>
              <w:rPr>
                <w:rFonts w:hint="eastAsia" w:ascii="宋体" w:hAnsi="宋体"/>
                <w:sz w:val="18"/>
                <w:szCs w:val="21"/>
              </w:rPr>
              <w:t>2、更换传感器</w:t>
            </w:r>
          </w:p>
        </w:tc>
        <w:tc>
          <w:tcPr>
            <w:tcW w:w="901" w:type="dxa"/>
          </w:tcPr>
          <w:p>
            <w:pPr>
              <w:keepNext w:val="0"/>
              <w:keepLines w:val="0"/>
              <w:suppressLineNumbers w:val="0"/>
              <w:spacing w:before="0" w:beforeAutospacing="0" w:after="0" w:afterAutospacing="0" w:line="240" w:lineRule="auto"/>
              <w:ind w:left="0" w:right="0"/>
              <w:jc w:val="left"/>
              <w:rPr>
                <w:rFonts w:hint="default" w:ascii="宋体" w:hAnsi="宋体"/>
                <w:b/>
                <w:sz w:val="18"/>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24" w:type="dxa"/>
            <w:vAlign w:val="center"/>
          </w:tcPr>
          <w:p>
            <w:pPr>
              <w:keepNext w:val="0"/>
              <w:keepLines w:val="0"/>
              <w:suppressLineNumbers w:val="0"/>
              <w:spacing w:before="0" w:beforeAutospacing="0" w:after="0" w:afterAutospacing="0" w:line="240" w:lineRule="auto"/>
              <w:ind w:left="0" w:right="0"/>
              <w:jc w:val="left"/>
              <w:rPr>
                <w:rFonts w:hint="default" w:ascii="宋体" w:hAnsi="宋体"/>
                <w:sz w:val="18"/>
                <w:szCs w:val="21"/>
              </w:rPr>
            </w:pPr>
            <w:r>
              <w:rPr>
                <w:rFonts w:hint="eastAsia" w:ascii="宋体" w:hAnsi="宋体"/>
                <w:sz w:val="18"/>
                <w:szCs w:val="21"/>
              </w:rPr>
              <w:t>显示“E2”</w:t>
            </w:r>
          </w:p>
        </w:tc>
        <w:tc>
          <w:tcPr>
            <w:tcW w:w="1310" w:type="dxa"/>
            <w:vAlign w:val="center"/>
          </w:tcPr>
          <w:p>
            <w:pPr>
              <w:keepNext w:val="0"/>
              <w:keepLines w:val="0"/>
              <w:suppressLineNumbers w:val="0"/>
              <w:spacing w:before="0" w:beforeAutospacing="0" w:after="0" w:afterAutospacing="0" w:line="240" w:lineRule="auto"/>
              <w:ind w:left="0" w:right="0"/>
              <w:jc w:val="left"/>
              <w:rPr>
                <w:rFonts w:hint="default" w:ascii="宋体" w:hAnsi="宋体"/>
                <w:sz w:val="18"/>
                <w:szCs w:val="21"/>
              </w:rPr>
            </w:pPr>
            <w:r>
              <w:rPr>
                <w:rFonts w:hint="eastAsia" w:ascii="宋体" w:hAnsi="宋体"/>
                <w:sz w:val="18"/>
                <w:szCs w:val="21"/>
              </w:rPr>
              <w:t>探测器与控制器之间不通讯</w:t>
            </w:r>
          </w:p>
        </w:tc>
        <w:tc>
          <w:tcPr>
            <w:tcW w:w="2732" w:type="dxa"/>
            <w:vAlign w:val="center"/>
          </w:tcPr>
          <w:p>
            <w:pPr>
              <w:keepNext w:val="0"/>
              <w:keepLines w:val="0"/>
              <w:suppressLineNumbers w:val="0"/>
              <w:spacing w:before="0" w:beforeAutospacing="0" w:after="0" w:afterAutospacing="0" w:line="240" w:lineRule="auto"/>
              <w:ind w:left="0" w:right="0"/>
              <w:jc w:val="left"/>
              <w:rPr>
                <w:rFonts w:hint="default" w:ascii="宋体" w:hAnsi="宋体"/>
                <w:sz w:val="18"/>
                <w:szCs w:val="21"/>
              </w:rPr>
            </w:pPr>
            <w:r>
              <w:rPr>
                <w:rFonts w:hint="eastAsia" w:ascii="宋体" w:hAnsi="宋体"/>
                <w:sz w:val="18"/>
                <w:szCs w:val="21"/>
              </w:rPr>
              <w:t>1.检查接线是否正确</w:t>
            </w:r>
          </w:p>
          <w:p>
            <w:pPr>
              <w:keepNext w:val="0"/>
              <w:keepLines w:val="0"/>
              <w:suppressLineNumbers w:val="0"/>
              <w:spacing w:before="0" w:beforeAutospacing="0" w:after="0" w:afterAutospacing="0" w:line="240" w:lineRule="auto"/>
              <w:ind w:left="0" w:right="0"/>
              <w:jc w:val="left"/>
              <w:rPr>
                <w:rFonts w:hint="default" w:ascii="宋体" w:hAnsi="宋体"/>
                <w:sz w:val="18"/>
                <w:szCs w:val="21"/>
              </w:rPr>
            </w:pPr>
            <w:r>
              <w:rPr>
                <w:rFonts w:hint="eastAsia" w:ascii="宋体" w:hAnsi="宋体"/>
                <w:sz w:val="18"/>
                <w:szCs w:val="21"/>
              </w:rPr>
              <w:t>2.探测器实际的连接路数与设定的路数是否一致(总线制)</w:t>
            </w:r>
          </w:p>
          <w:p>
            <w:pPr>
              <w:keepNext w:val="0"/>
              <w:keepLines w:val="0"/>
              <w:suppressLineNumbers w:val="0"/>
              <w:spacing w:before="0" w:beforeAutospacing="0" w:after="0" w:afterAutospacing="0" w:line="240" w:lineRule="auto"/>
              <w:ind w:left="0" w:right="0"/>
              <w:jc w:val="left"/>
              <w:rPr>
                <w:rFonts w:hint="default" w:ascii="宋体" w:hAnsi="宋体"/>
                <w:sz w:val="18"/>
                <w:szCs w:val="21"/>
              </w:rPr>
            </w:pPr>
            <w:r>
              <w:rPr>
                <w:rFonts w:hint="eastAsia" w:ascii="宋体" w:hAnsi="宋体"/>
                <w:sz w:val="18"/>
                <w:szCs w:val="21"/>
              </w:rPr>
              <w:t>3.探测器电压是否正常</w:t>
            </w:r>
          </w:p>
          <w:p>
            <w:pPr>
              <w:keepNext w:val="0"/>
              <w:keepLines w:val="0"/>
              <w:suppressLineNumbers w:val="0"/>
              <w:spacing w:before="0" w:beforeAutospacing="0" w:after="0" w:afterAutospacing="0" w:line="240" w:lineRule="auto"/>
              <w:ind w:left="0" w:right="0"/>
              <w:jc w:val="left"/>
              <w:rPr>
                <w:rFonts w:hint="default" w:ascii="宋体" w:hAnsi="宋体"/>
                <w:sz w:val="18"/>
                <w:szCs w:val="21"/>
              </w:rPr>
            </w:pPr>
            <w:r>
              <w:rPr>
                <w:rFonts w:hint="eastAsia" w:ascii="宋体" w:hAnsi="宋体"/>
                <w:sz w:val="18"/>
                <w:szCs w:val="21"/>
              </w:rPr>
              <w:t>4.时间久之后连接线是否被腐蚀、接线端子处是否连接良好</w:t>
            </w:r>
          </w:p>
        </w:tc>
        <w:tc>
          <w:tcPr>
            <w:tcW w:w="901" w:type="dxa"/>
          </w:tcPr>
          <w:p>
            <w:pPr>
              <w:keepNext w:val="0"/>
              <w:keepLines w:val="0"/>
              <w:suppressLineNumbers w:val="0"/>
              <w:spacing w:before="0" w:beforeAutospacing="0" w:after="0" w:afterAutospacing="0" w:line="240" w:lineRule="auto"/>
              <w:ind w:left="0" w:right="0"/>
              <w:jc w:val="left"/>
              <w:rPr>
                <w:rFonts w:hint="default" w:ascii="宋体" w:hAnsi="宋体"/>
                <w:b/>
                <w:sz w:val="18"/>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24" w:type="dxa"/>
            <w:vAlign w:val="center"/>
          </w:tcPr>
          <w:p>
            <w:pPr>
              <w:keepNext w:val="0"/>
              <w:keepLines w:val="0"/>
              <w:suppressLineNumbers w:val="0"/>
              <w:spacing w:before="0" w:beforeAutospacing="0" w:after="0" w:afterAutospacing="0" w:line="240" w:lineRule="auto"/>
              <w:ind w:left="0" w:right="0"/>
              <w:jc w:val="left"/>
              <w:rPr>
                <w:rFonts w:hint="default" w:ascii="宋体" w:hAnsi="宋体"/>
                <w:sz w:val="18"/>
                <w:szCs w:val="21"/>
              </w:rPr>
            </w:pPr>
            <w:r>
              <w:rPr>
                <w:rFonts w:hint="eastAsia" w:ascii="宋体" w:hAnsi="宋体"/>
                <w:sz w:val="18"/>
                <w:szCs w:val="21"/>
              </w:rPr>
              <w:t>显示“E3”</w:t>
            </w:r>
          </w:p>
        </w:tc>
        <w:tc>
          <w:tcPr>
            <w:tcW w:w="1310" w:type="dxa"/>
            <w:vAlign w:val="center"/>
          </w:tcPr>
          <w:p>
            <w:pPr>
              <w:keepNext w:val="0"/>
              <w:keepLines w:val="0"/>
              <w:suppressLineNumbers w:val="0"/>
              <w:spacing w:before="0" w:beforeAutospacing="0" w:after="0" w:afterAutospacing="0" w:line="240" w:lineRule="auto"/>
              <w:ind w:left="0" w:right="0"/>
              <w:jc w:val="left"/>
              <w:rPr>
                <w:rFonts w:hint="default" w:ascii="宋体" w:hAnsi="宋体"/>
                <w:sz w:val="18"/>
                <w:szCs w:val="21"/>
              </w:rPr>
            </w:pPr>
            <w:r>
              <w:rPr>
                <w:rFonts w:hint="eastAsia"/>
                <w:sz w:val="18"/>
              </w:rPr>
              <w:t>存储芯片故障</w:t>
            </w:r>
          </w:p>
        </w:tc>
        <w:tc>
          <w:tcPr>
            <w:tcW w:w="2732" w:type="dxa"/>
            <w:vAlign w:val="center"/>
          </w:tcPr>
          <w:p>
            <w:pPr>
              <w:keepNext w:val="0"/>
              <w:keepLines w:val="0"/>
              <w:suppressLineNumbers w:val="0"/>
              <w:spacing w:before="0" w:beforeAutospacing="0" w:after="0" w:afterAutospacing="0" w:line="240" w:lineRule="auto"/>
              <w:ind w:left="0" w:right="0"/>
              <w:jc w:val="left"/>
              <w:rPr>
                <w:rFonts w:hint="default" w:ascii="宋体" w:hAnsi="宋体"/>
                <w:sz w:val="18"/>
                <w:szCs w:val="21"/>
              </w:rPr>
            </w:pPr>
            <w:r>
              <w:rPr>
                <w:rFonts w:hint="eastAsia"/>
                <w:sz w:val="18"/>
              </w:rPr>
              <w:t>探测器存储芯片故障，</w:t>
            </w:r>
            <w:r>
              <w:rPr>
                <w:rFonts w:hint="eastAsia" w:ascii="宋体" w:hAnsi="宋体"/>
                <w:sz w:val="18"/>
                <w:szCs w:val="21"/>
              </w:rPr>
              <w:t>返厂维修</w:t>
            </w:r>
          </w:p>
        </w:tc>
        <w:tc>
          <w:tcPr>
            <w:tcW w:w="901" w:type="dxa"/>
          </w:tcPr>
          <w:p>
            <w:pPr>
              <w:keepNext w:val="0"/>
              <w:keepLines w:val="0"/>
              <w:suppressLineNumbers w:val="0"/>
              <w:spacing w:before="0" w:beforeAutospacing="0" w:after="0" w:afterAutospacing="0" w:line="240" w:lineRule="auto"/>
              <w:ind w:left="0" w:right="0"/>
              <w:jc w:val="left"/>
              <w:rPr>
                <w:rFonts w:hint="default" w:ascii="宋体" w:hAnsi="宋体"/>
                <w:b/>
                <w:sz w:val="18"/>
                <w:szCs w:val="21"/>
              </w:rPr>
            </w:pPr>
          </w:p>
        </w:tc>
      </w:tr>
    </w:tbl>
    <w:p>
      <w:pPr>
        <w:pStyle w:val="2"/>
        <w:numPr>
          <w:ilvl w:val="0"/>
          <w:numId w:val="0"/>
        </w:numPr>
        <w:spacing w:line="240" w:lineRule="auto"/>
        <w:ind w:leftChars="0"/>
      </w:pPr>
      <w:bookmarkStart w:id="10" w:name="_Toc408843078"/>
      <w:r>
        <w:rPr>
          <w:rFonts w:hint="eastAsia"/>
          <w:lang w:val="en-US" w:eastAsia="zh-CN"/>
        </w:rPr>
        <w:t xml:space="preserve">5. </w:t>
      </w:r>
      <w:bookmarkStart w:id="11" w:name="_Toc408843079"/>
      <w:bookmarkEnd w:id="10"/>
      <w:r>
        <w:rPr>
          <w:rFonts w:hint="eastAsia"/>
          <w:lang w:val="en-US" w:eastAsia="zh-CN"/>
        </w:rPr>
        <w:t xml:space="preserve"> </w:t>
      </w:r>
      <w:r>
        <w:rPr>
          <w:rFonts w:hint="eastAsia"/>
        </w:rPr>
        <w:t>售后</w:t>
      </w:r>
      <w:bookmarkEnd w:id="11"/>
    </w:p>
    <w:p>
      <w:pPr>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rPr>
          <w:rFonts w:ascii="宋体" w:hAnsi="宋体"/>
          <w:szCs w:val="21"/>
        </w:rPr>
      </w:pPr>
      <w:r>
        <w:rPr>
          <w:rFonts w:hint="eastAsia" w:ascii="宋体" w:hAnsi="宋体"/>
          <w:szCs w:val="21"/>
        </w:rPr>
        <w:t>本产品自出厂之日起保修期壹年（自然灾害和人为因素除外）。请勿私自拆解本产品，一经打开，保修服务自动终止。</w:t>
      </w:r>
    </w:p>
    <w:p>
      <w:pPr>
        <w:spacing w:line="340" w:lineRule="exact"/>
        <w:ind w:right="600"/>
        <w:jc w:val="left"/>
        <w:rPr>
          <w:rFonts w:ascii="宋体" w:hAnsi="宋体"/>
          <w:szCs w:val="21"/>
        </w:rPr>
      </w:pPr>
    </w:p>
    <w:p>
      <w:pPr>
        <w:spacing w:line="340" w:lineRule="exact"/>
        <w:ind w:right="600" w:firstLine="210" w:firstLineChars="100"/>
        <w:jc w:val="left"/>
        <w:rPr>
          <w:rFonts w:ascii="宋体" w:hAnsi="宋体"/>
          <w:szCs w:val="21"/>
        </w:rPr>
      </w:pPr>
    </w:p>
    <w:p>
      <w:pPr>
        <w:spacing w:line="360" w:lineRule="exact"/>
        <w:ind w:right="600"/>
        <w:jc w:val="left"/>
        <w:rPr>
          <w:rFonts w:ascii="宋体" w:hAnsi="宋体"/>
          <w:sz w:val="24"/>
        </w:rPr>
      </w:pPr>
    </w:p>
    <w:p>
      <w:pPr>
        <w:spacing w:line="360" w:lineRule="exact"/>
        <w:ind w:right="600"/>
        <w:jc w:val="left"/>
        <w:rPr>
          <w:rFonts w:ascii="宋体" w:hAnsi="宋体"/>
          <w:sz w:val="24"/>
        </w:rPr>
      </w:pPr>
    </w:p>
    <w:p>
      <w:pPr>
        <w:spacing w:line="360" w:lineRule="exact"/>
        <w:ind w:right="600"/>
        <w:jc w:val="left"/>
        <w:rPr>
          <w:rFonts w:ascii="宋体" w:hAnsi="宋体"/>
          <w:sz w:val="24"/>
        </w:rPr>
      </w:pPr>
    </w:p>
    <w:p>
      <w:pPr>
        <w:spacing w:line="360" w:lineRule="exact"/>
        <w:ind w:right="600"/>
        <w:jc w:val="left"/>
        <w:rPr>
          <w:rFonts w:ascii="宋体" w:hAnsi="宋体"/>
          <w:sz w:val="24"/>
        </w:rPr>
      </w:pPr>
    </w:p>
    <w:p>
      <w:pPr>
        <w:tabs>
          <w:tab w:val="left" w:pos="870"/>
        </w:tabs>
        <w:spacing w:line="240" w:lineRule="auto"/>
        <w:jc w:val="both"/>
        <w:rPr>
          <w:rFonts w:hint="eastAsia" w:eastAsia="宋体"/>
          <w:sz w:val="21"/>
          <w:szCs w:val="21"/>
          <w:lang w:eastAsia="zh-CN"/>
        </w:rPr>
      </w:pPr>
      <w:r>
        <w:rPr>
          <w:rFonts w:hint="eastAsia"/>
          <w:sz w:val="21"/>
          <w:szCs w:val="21"/>
          <w:lang w:eastAsia="zh-CN"/>
        </w:rPr>
        <w:t>济南鼎诺科技有限公司</w:t>
      </w:r>
    </w:p>
    <w:p>
      <w:pPr>
        <w:spacing w:line="240" w:lineRule="auto"/>
        <w:rPr>
          <w:rFonts w:ascii="宋体"/>
          <w:color w:val="000000"/>
          <w:sz w:val="24"/>
        </w:rPr>
      </w:pPr>
      <w:r>
        <w:rPr>
          <w:rFonts w:hint="eastAsia"/>
          <w:sz w:val="24"/>
        </w:rPr>
        <w:t>地</w:t>
      </w:r>
      <w:r>
        <w:rPr>
          <w:sz w:val="24"/>
        </w:rPr>
        <w:t xml:space="preserve"> </w:t>
      </w:r>
      <w:r>
        <w:rPr>
          <w:rFonts w:hint="eastAsia"/>
          <w:sz w:val="24"/>
        </w:rPr>
        <w:t>址：</w:t>
      </w:r>
      <w:r>
        <w:rPr>
          <w:rFonts w:hint="eastAsia" w:ascii="宋体" w:hAnsi="宋体" w:cs="Times New Roman"/>
          <w:sz w:val="21"/>
          <w:szCs w:val="21"/>
          <w:lang w:val="en-US" w:eastAsia="zh-CN" w:bidi="ar"/>
        </w:rPr>
        <w:t>济南市历城区华阳路65号留学人员创业园C区</w:t>
      </w:r>
    </w:p>
    <w:p>
      <w:pPr>
        <w:spacing w:line="240" w:lineRule="auto"/>
        <w:ind w:right="600"/>
        <w:rPr>
          <w:sz w:val="24"/>
        </w:rPr>
      </w:pPr>
      <w:r>
        <w:rPr>
          <w:rFonts w:hint="eastAsia"/>
          <w:sz w:val="24"/>
        </w:rPr>
        <w:t>电</w:t>
      </w:r>
      <w:r>
        <w:rPr>
          <w:sz w:val="24"/>
        </w:rPr>
        <w:t xml:space="preserve"> </w:t>
      </w:r>
      <w:r>
        <w:rPr>
          <w:rFonts w:hint="eastAsia"/>
          <w:sz w:val="24"/>
        </w:rPr>
        <w:t>话：</w:t>
      </w:r>
      <w:r>
        <w:rPr>
          <w:sz w:val="24"/>
        </w:rPr>
        <w:t>0531-</w:t>
      </w:r>
      <w:r>
        <w:rPr>
          <w:rFonts w:hint="eastAsia"/>
          <w:sz w:val="24"/>
          <w:lang w:val="en-US" w:eastAsia="zh-CN"/>
        </w:rPr>
        <w:t xml:space="preserve">82373337   </w:t>
      </w:r>
      <w:r>
        <w:rPr>
          <w:rFonts w:hint="eastAsia"/>
          <w:sz w:val="24"/>
        </w:rPr>
        <w:t>传真：</w:t>
      </w:r>
      <w:r>
        <w:rPr>
          <w:sz w:val="24"/>
        </w:rPr>
        <w:t>0531-</w:t>
      </w:r>
      <w:r>
        <w:rPr>
          <w:rFonts w:hint="eastAsia"/>
          <w:sz w:val="24"/>
          <w:lang w:val="en-US" w:eastAsia="zh-CN"/>
        </w:rPr>
        <w:t>82373337</w:t>
      </w:r>
    </w:p>
    <w:p>
      <w:pPr>
        <w:spacing w:line="240" w:lineRule="auto"/>
        <w:ind w:right="600"/>
        <w:rPr>
          <w:rFonts w:ascii="宋体"/>
          <w:color w:val="000000"/>
          <w:sz w:val="24"/>
        </w:rPr>
      </w:pPr>
      <w:r>
        <w:rPr>
          <w:rFonts w:hint="eastAsia"/>
          <w:sz w:val="24"/>
        </w:rPr>
        <w:t>邮</w:t>
      </w:r>
      <w:r>
        <w:rPr>
          <w:sz w:val="24"/>
        </w:rPr>
        <w:t xml:space="preserve"> </w:t>
      </w:r>
      <w:r>
        <w:rPr>
          <w:rFonts w:hint="eastAsia"/>
          <w:sz w:val="24"/>
        </w:rPr>
        <w:t>编：</w:t>
      </w:r>
      <w:r>
        <w:rPr>
          <w:sz w:val="24"/>
        </w:rPr>
        <w:t>25010</w:t>
      </w:r>
      <w:r>
        <w:rPr>
          <w:rFonts w:hint="eastAsia"/>
          <w:sz w:val="24"/>
          <w:lang w:val="en-US" w:eastAsia="zh-CN"/>
        </w:rPr>
        <w:t>0</w:t>
      </w:r>
      <w:r>
        <w:rPr>
          <w:sz w:val="24"/>
        </w:rPr>
        <w:t xml:space="preserve">  </w:t>
      </w:r>
    </w:p>
    <w:sectPr>
      <w:headerReference r:id="rId4" w:type="first"/>
      <w:headerReference r:id="rId3" w:type="default"/>
      <w:footerReference r:id="rId5" w:type="default"/>
      <w:footerReference r:id="rId6" w:type="even"/>
      <w:pgSz w:w="8420" w:h="11907" w:orient="landscape"/>
      <w:pgMar w:top="567" w:right="1134" w:bottom="567" w:left="1134" w:header="0" w:footer="0"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RomanS">
    <w:altName w:val="Palatino Linotype"/>
    <w:panose1 w:val="02000400000000000000"/>
    <w:charset w:val="00"/>
    <w:family w:val="auto"/>
    <w:pitch w:val="default"/>
    <w:sig w:usb0="00000000" w:usb1="00000000" w:usb2="00000000" w:usb3="00000000" w:csb0="000001FF" w:csb1="00000000"/>
  </w:font>
  <w:font w:name="Lucida Sans Unicode">
    <w:panose1 w:val="020B0602030504020204"/>
    <w:charset w:val="00"/>
    <w:family w:val="auto"/>
    <w:pitch w:val="default"/>
    <w:sig w:usb0="80001AFF" w:usb1="0000396B" w:usb2="00000000" w:usb3="00000000" w:csb0="0000003F" w:csb1="D7F70000"/>
  </w:font>
  <w:font w:name="新宋体">
    <w:panose1 w:val="02010609030101010101"/>
    <w:charset w:val="86"/>
    <w:family w:val="modern"/>
    <w:pitch w:val="default"/>
    <w:sig w:usb0="00000003" w:usb1="080E0000" w:usb2="00000000"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Arial">
    <w:panose1 w:val="020B0604020202020204"/>
    <w:charset w:val="00"/>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h="322" w:hRule="exact" w:wrap="around" w:vAnchor="text" w:hAnchor="page" w:x="4164" w:y="-302"/>
      <w:jc w:val="center"/>
      <w:rPr>
        <w:rStyle w:val="10"/>
      </w:rPr>
    </w:pPr>
    <w:r>
      <w:rPr>
        <w:rStyle w:val="10"/>
      </w:rPr>
      <w:fldChar w:fldCharType="begin"/>
    </w:r>
    <w:r>
      <w:rPr>
        <w:rStyle w:val="10"/>
      </w:rPr>
      <w:instrText xml:space="preserve">PAGE  </w:instrText>
    </w:r>
    <w:r>
      <w:rPr>
        <w:rStyle w:val="10"/>
      </w:rPr>
      <w:fldChar w:fldCharType="separate"/>
    </w:r>
    <w:r>
      <w:rPr>
        <w:rStyle w:val="10"/>
      </w:rPr>
      <w:t>5</w:t>
    </w:r>
    <w:r>
      <w:rPr>
        <w:rStyle w:val="10"/>
      </w:rPr>
      <w:fldChar w:fldCharType="end"/>
    </w:r>
  </w:p>
  <w:p>
    <w:pPr>
      <w:pStyle w:val="5"/>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6" w:space="0"/>
      </w:pBdr>
    </w:pPr>
  </w:p>
  <w:p>
    <w:pPr>
      <w:pStyle w:val="6"/>
      <w:pBdr>
        <w:bottom w:val="single" w:color="auto" w:sz="6" w:space="0"/>
      </w:pBdr>
    </w:pPr>
  </w:p>
  <w:p>
    <w:pPr>
      <w:pStyle w:val="6"/>
      <w:pBdr>
        <w:bottom w:val="single" w:color="auto" w:sz="6"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72DB9"/>
    <w:multiLevelType w:val="multilevel"/>
    <w:tmpl w:val="43A72DB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B9B02C6"/>
    <w:multiLevelType w:val="multilevel"/>
    <w:tmpl w:val="5B9B02C6"/>
    <w:lvl w:ilvl="0" w:tentative="0">
      <w:start w:val="1"/>
      <w:numFmt w:val="decimal"/>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9A8702C"/>
    <w:multiLevelType w:val="multilevel"/>
    <w:tmpl w:val="79A8702C"/>
    <w:lvl w:ilvl="0" w:tentative="0">
      <w:start w:val="1"/>
      <w:numFmt w:val="bullet"/>
      <w:lvlText w:val=""/>
      <w:lvlJc w:val="left"/>
      <w:pPr>
        <w:ind w:left="420" w:hanging="420"/>
      </w:pPr>
      <w:rPr>
        <w:rFonts w:hint="default" w:ascii="Wingdings" w:hAnsi="Wingdings"/>
        <w:sz w:val="2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bookFoldPrinting w:val="1"/>
  <w:bookFoldPrintingSheets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CC6430"/>
    <w:rsid w:val="0000361B"/>
    <w:rsid w:val="00004CC1"/>
    <w:rsid w:val="00010471"/>
    <w:rsid w:val="00017638"/>
    <w:rsid w:val="0003215F"/>
    <w:rsid w:val="00043D7F"/>
    <w:rsid w:val="00043DAE"/>
    <w:rsid w:val="00045DA4"/>
    <w:rsid w:val="000472C5"/>
    <w:rsid w:val="00053A5D"/>
    <w:rsid w:val="00055A0F"/>
    <w:rsid w:val="00056C98"/>
    <w:rsid w:val="00063ED7"/>
    <w:rsid w:val="000671A6"/>
    <w:rsid w:val="00071936"/>
    <w:rsid w:val="000726E6"/>
    <w:rsid w:val="0007410A"/>
    <w:rsid w:val="00075557"/>
    <w:rsid w:val="000878EF"/>
    <w:rsid w:val="00090F9A"/>
    <w:rsid w:val="00093B9E"/>
    <w:rsid w:val="000A6A9F"/>
    <w:rsid w:val="000B0BFA"/>
    <w:rsid w:val="000B6112"/>
    <w:rsid w:val="000C4FA6"/>
    <w:rsid w:val="000D064E"/>
    <w:rsid w:val="000D4FA0"/>
    <w:rsid w:val="000D591E"/>
    <w:rsid w:val="000D7CF9"/>
    <w:rsid w:val="000E1740"/>
    <w:rsid w:val="000E3B49"/>
    <w:rsid w:val="000E3C38"/>
    <w:rsid w:val="000E7CA8"/>
    <w:rsid w:val="000F25DB"/>
    <w:rsid w:val="000F3848"/>
    <w:rsid w:val="000F3D45"/>
    <w:rsid w:val="0010337B"/>
    <w:rsid w:val="0010350D"/>
    <w:rsid w:val="001129E0"/>
    <w:rsid w:val="00121E70"/>
    <w:rsid w:val="001260B1"/>
    <w:rsid w:val="001325C3"/>
    <w:rsid w:val="00132E40"/>
    <w:rsid w:val="001372D5"/>
    <w:rsid w:val="00137331"/>
    <w:rsid w:val="001434E1"/>
    <w:rsid w:val="0016584C"/>
    <w:rsid w:val="00180919"/>
    <w:rsid w:val="0018216A"/>
    <w:rsid w:val="001824BD"/>
    <w:rsid w:val="00190350"/>
    <w:rsid w:val="00194390"/>
    <w:rsid w:val="001A48C7"/>
    <w:rsid w:val="001B13D3"/>
    <w:rsid w:val="001B5E44"/>
    <w:rsid w:val="001D2FBE"/>
    <w:rsid w:val="001D53F1"/>
    <w:rsid w:val="001E347B"/>
    <w:rsid w:val="001E4A4B"/>
    <w:rsid w:val="001F00CD"/>
    <w:rsid w:val="001F49A4"/>
    <w:rsid w:val="00203296"/>
    <w:rsid w:val="00204A8F"/>
    <w:rsid w:val="00206AA4"/>
    <w:rsid w:val="00210792"/>
    <w:rsid w:val="00210A99"/>
    <w:rsid w:val="00210F61"/>
    <w:rsid w:val="00213142"/>
    <w:rsid w:val="00215FF7"/>
    <w:rsid w:val="00216DD3"/>
    <w:rsid w:val="00217633"/>
    <w:rsid w:val="00222482"/>
    <w:rsid w:val="00231CD0"/>
    <w:rsid w:val="002332BC"/>
    <w:rsid w:val="00233752"/>
    <w:rsid w:val="00233B46"/>
    <w:rsid w:val="002348BF"/>
    <w:rsid w:val="0024059F"/>
    <w:rsid w:val="00247700"/>
    <w:rsid w:val="00257CF4"/>
    <w:rsid w:val="00257EE2"/>
    <w:rsid w:val="00263A7E"/>
    <w:rsid w:val="00265274"/>
    <w:rsid w:val="00267169"/>
    <w:rsid w:val="00282171"/>
    <w:rsid w:val="002860F2"/>
    <w:rsid w:val="00286AAE"/>
    <w:rsid w:val="002928EE"/>
    <w:rsid w:val="00297B09"/>
    <w:rsid w:val="002A5D58"/>
    <w:rsid w:val="002B3729"/>
    <w:rsid w:val="002B6A35"/>
    <w:rsid w:val="002D456C"/>
    <w:rsid w:val="002D46B1"/>
    <w:rsid w:val="002E29B8"/>
    <w:rsid w:val="002E2A82"/>
    <w:rsid w:val="00303C9E"/>
    <w:rsid w:val="00305C67"/>
    <w:rsid w:val="0030627E"/>
    <w:rsid w:val="003123B4"/>
    <w:rsid w:val="00317F5D"/>
    <w:rsid w:val="00327B20"/>
    <w:rsid w:val="003330B6"/>
    <w:rsid w:val="00337483"/>
    <w:rsid w:val="00345494"/>
    <w:rsid w:val="00347E20"/>
    <w:rsid w:val="0035334F"/>
    <w:rsid w:val="00356B33"/>
    <w:rsid w:val="00363CE0"/>
    <w:rsid w:val="003644E6"/>
    <w:rsid w:val="00370E09"/>
    <w:rsid w:val="00380420"/>
    <w:rsid w:val="0038208A"/>
    <w:rsid w:val="00390429"/>
    <w:rsid w:val="003932B7"/>
    <w:rsid w:val="00396F33"/>
    <w:rsid w:val="003A1478"/>
    <w:rsid w:val="003A312A"/>
    <w:rsid w:val="003B16AE"/>
    <w:rsid w:val="003D1C63"/>
    <w:rsid w:val="003E363A"/>
    <w:rsid w:val="003E6339"/>
    <w:rsid w:val="00400925"/>
    <w:rsid w:val="004056F7"/>
    <w:rsid w:val="0041101A"/>
    <w:rsid w:val="00412252"/>
    <w:rsid w:val="004155DD"/>
    <w:rsid w:val="00416CAE"/>
    <w:rsid w:val="00417096"/>
    <w:rsid w:val="004225C2"/>
    <w:rsid w:val="004341DD"/>
    <w:rsid w:val="00435A44"/>
    <w:rsid w:val="00437B91"/>
    <w:rsid w:val="0044103A"/>
    <w:rsid w:val="0046054D"/>
    <w:rsid w:val="0046185A"/>
    <w:rsid w:val="00462223"/>
    <w:rsid w:val="00471B76"/>
    <w:rsid w:val="004766FE"/>
    <w:rsid w:val="00481C68"/>
    <w:rsid w:val="00492327"/>
    <w:rsid w:val="004A1AC7"/>
    <w:rsid w:val="004A60D7"/>
    <w:rsid w:val="004A74C7"/>
    <w:rsid w:val="004C02FF"/>
    <w:rsid w:val="004D03B4"/>
    <w:rsid w:val="004D52E5"/>
    <w:rsid w:val="004E0AEA"/>
    <w:rsid w:val="004E456C"/>
    <w:rsid w:val="004E7862"/>
    <w:rsid w:val="004F1806"/>
    <w:rsid w:val="004F4CBB"/>
    <w:rsid w:val="004F6183"/>
    <w:rsid w:val="004F6B0B"/>
    <w:rsid w:val="005018A0"/>
    <w:rsid w:val="0050235F"/>
    <w:rsid w:val="00506C2F"/>
    <w:rsid w:val="0050727C"/>
    <w:rsid w:val="005074E9"/>
    <w:rsid w:val="005078CA"/>
    <w:rsid w:val="00510DF1"/>
    <w:rsid w:val="0051698C"/>
    <w:rsid w:val="00520B99"/>
    <w:rsid w:val="00527E39"/>
    <w:rsid w:val="00532D96"/>
    <w:rsid w:val="00534B3E"/>
    <w:rsid w:val="005411AE"/>
    <w:rsid w:val="00545B93"/>
    <w:rsid w:val="005470E0"/>
    <w:rsid w:val="00547126"/>
    <w:rsid w:val="00552BBD"/>
    <w:rsid w:val="0055492E"/>
    <w:rsid w:val="00556A21"/>
    <w:rsid w:val="0056169B"/>
    <w:rsid w:val="00577B79"/>
    <w:rsid w:val="00581566"/>
    <w:rsid w:val="00581883"/>
    <w:rsid w:val="00581C10"/>
    <w:rsid w:val="00583801"/>
    <w:rsid w:val="00584DD0"/>
    <w:rsid w:val="00586811"/>
    <w:rsid w:val="005A1AD7"/>
    <w:rsid w:val="005A2634"/>
    <w:rsid w:val="005B1CAD"/>
    <w:rsid w:val="005C2608"/>
    <w:rsid w:val="005D180D"/>
    <w:rsid w:val="005D2356"/>
    <w:rsid w:val="005D2857"/>
    <w:rsid w:val="005D3FBC"/>
    <w:rsid w:val="005D4509"/>
    <w:rsid w:val="005D69CD"/>
    <w:rsid w:val="005E558D"/>
    <w:rsid w:val="005F4150"/>
    <w:rsid w:val="00612F22"/>
    <w:rsid w:val="00623B7B"/>
    <w:rsid w:val="00625912"/>
    <w:rsid w:val="00626602"/>
    <w:rsid w:val="00630322"/>
    <w:rsid w:val="006352E7"/>
    <w:rsid w:val="00636285"/>
    <w:rsid w:val="0063663B"/>
    <w:rsid w:val="00656727"/>
    <w:rsid w:val="00665213"/>
    <w:rsid w:val="00670043"/>
    <w:rsid w:val="006710E6"/>
    <w:rsid w:val="00672693"/>
    <w:rsid w:val="00675E7A"/>
    <w:rsid w:val="00682153"/>
    <w:rsid w:val="006B37C3"/>
    <w:rsid w:val="006B5692"/>
    <w:rsid w:val="006B6E41"/>
    <w:rsid w:val="006C2602"/>
    <w:rsid w:val="006C7BDA"/>
    <w:rsid w:val="006D2836"/>
    <w:rsid w:val="006D2A86"/>
    <w:rsid w:val="006D2BA4"/>
    <w:rsid w:val="006E709E"/>
    <w:rsid w:val="006F7FB0"/>
    <w:rsid w:val="00703D58"/>
    <w:rsid w:val="007108DF"/>
    <w:rsid w:val="00725A3D"/>
    <w:rsid w:val="00733E69"/>
    <w:rsid w:val="007442DB"/>
    <w:rsid w:val="00752985"/>
    <w:rsid w:val="007531B9"/>
    <w:rsid w:val="007702AA"/>
    <w:rsid w:val="007707C3"/>
    <w:rsid w:val="00770F45"/>
    <w:rsid w:val="00774910"/>
    <w:rsid w:val="00790E28"/>
    <w:rsid w:val="00793BF7"/>
    <w:rsid w:val="007A1818"/>
    <w:rsid w:val="007A4483"/>
    <w:rsid w:val="007A45FD"/>
    <w:rsid w:val="007B7A81"/>
    <w:rsid w:val="007D1E42"/>
    <w:rsid w:val="007E1364"/>
    <w:rsid w:val="007E506F"/>
    <w:rsid w:val="007F6698"/>
    <w:rsid w:val="00807523"/>
    <w:rsid w:val="00811BDE"/>
    <w:rsid w:val="008157EE"/>
    <w:rsid w:val="008177AB"/>
    <w:rsid w:val="00817E27"/>
    <w:rsid w:val="008307A4"/>
    <w:rsid w:val="00830808"/>
    <w:rsid w:val="008311CC"/>
    <w:rsid w:val="00842DBB"/>
    <w:rsid w:val="00843257"/>
    <w:rsid w:val="00844B0D"/>
    <w:rsid w:val="0084536F"/>
    <w:rsid w:val="008457DA"/>
    <w:rsid w:val="00846B46"/>
    <w:rsid w:val="00850C5E"/>
    <w:rsid w:val="008541F3"/>
    <w:rsid w:val="00854F2F"/>
    <w:rsid w:val="008561AE"/>
    <w:rsid w:val="00866DA4"/>
    <w:rsid w:val="008A19F6"/>
    <w:rsid w:val="008A5519"/>
    <w:rsid w:val="008C24D6"/>
    <w:rsid w:val="008C2CFF"/>
    <w:rsid w:val="008C4A90"/>
    <w:rsid w:val="008C5D72"/>
    <w:rsid w:val="008C79C6"/>
    <w:rsid w:val="008D2C0C"/>
    <w:rsid w:val="008D4259"/>
    <w:rsid w:val="008E5CDC"/>
    <w:rsid w:val="008E7B4C"/>
    <w:rsid w:val="008F0983"/>
    <w:rsid w:val="008F7CBE"/>
    <w:rsid w:val="0090407A"/>
    <w:rsid w:val="0091135E"/>
    <w:rsid w:val="009121E2"/>
    <w:rsid w:val="009121FF"/>
    <w:rsid w:val="009158B4"/>
    <w:rsid w:val="009227DD"/>
    <w:rsid w:val="0092366C"/>
    <w:rsid w:val="00926F79"/>
    <w:rsid w:val="0092762D"/>
    <w:rsid w:val="00935787"/>
    <w:rsid w:val="00946BDC"/>
    <w:rsid w:val="00947226"/>
    <w:rsid w:val="00950F50"/>
    <w:rsid w:val="009517E5"/>
    <w:rsid w:val="009539A2"/>
    <w:rsid w:val="00953AE8"/>
    <w:rsid w:val="00956E37"/>
    <w:rsid w:val="0096504B"/>
    <w:rsid w:val="00965455"/>
    <w:rsid w:val="009760F5"/>
    <w:rsid w:val="009831DB"/>
    <w:rsid w:val="00984938"/>
    <w:rsid w:val="00985B0F"/>
    <w:rsid w:val="00994EC9"/>
    <w:rsid w:val="00995CCF"/>
    <w:rsid w:val="009B0C75"/>
    <w:rsid w:val="009B353B"/>
    <w:rsid w:val="009C1239"/>
    <w:rsid w:val="009C7325"/>
    <w:rsid w:val="009D6262"/>
    <w:rsid w:val="009D62C8"/>
    <w:rsid w:val="009D6BDF"/>
    <w:rsid w:val="009F1D95"/>
    <w:rsid w:val="009F3A04"/>
    <w:rsid w:val="009F52D9"/>
    <w:rsid w:val="009F6DDB"/>
    <w:rsid w:val="00A11BDB"/>
    <w:rsid w:val="00A1509F"/>
    <w:rsid w:val="00A20AA1"/>
    <w:rsid w:val="00A20CCA"/>
    <w:rsid w:val="00A32EC0"/>
    <w:rsid w:val="00A3527A"/>
    <w:rsid w:val="00A4094F"/>
    <w:rsid w:val="00A51534"/>
    <w:rsid w:val="00A551F0"/>
    <w:rsid w:val="00A613FC"/>
    <w:rsid w:val="00A83155"/>
    <w:rsid w:val="00A84B55"/>
    <w:rsid w:val="00A85B9D"/>
    <w:rsid w:val="00A908EE"/>
    <w:rsid w:val="00A956B4"/>
    <w:rsid w:val="00AB3F79"/>
    <w:rsid w:val="00AB7F87"/>
    <w:rsid w:val="00AC3457"/>
    <w:rsid w:val="00AD0D11"/>
    <w:rsid w:val="00AE1ECA"/>
    <w:rsid w:val="00AF151A"/>
    <w:rsid w:val="00AF3F91"/>
    <w:rsid w:val="00AF772C"/>
    <w:rsid w:val="00B135B9"/>
    <w:rsid w:val="00B173B9"/>
    <w:rsid w:val="00B217BF"/>
    <w:rsid w:val="00B21D1F"/>
    <w:rsid w:val="00B22527"/>
    <w:rsid w:val="00B24CE4"/>
    <w:rsid w:val="00B316B7"/>
    <w:rsid w:val="00B4727F"/>
    <w:rsid w:val="00B53F61"/>
    <w:rsid w:val="00B53FB3"/>
    <w:rsid w:val="00B54DA6"/>
    <w:rsid w:val="00B56148"/>
    <w:rsid w:val="00B5683C"/>
    <w:rsid w:val="00B62134"/>
    <w:rsid w:val="00B62F46"/>
    <w:rsid w:val="00B6316B"/>
    <w:rsid w:val="00B63522"/>
    <w:rsid w:val="00B6779C"/>
    <w:rsid w:val="00B74983"/>
    <w:rsid w:val="00B75BDF"/>
    <w:rsid w:val="00B76E54"/>
    <w:rsid w:val="00B77412"/>
    <w:rsid w:val="00B8366A"/>
    <w:rsid w:val="00B83F7F"/>
    <w:rsid w:val="00B86767"/>
    <w:rsid w:val="00B9177E"/>
    <w:rsid w:val="00B91E95"/>
    <w:rsid w:val="00B94FF9"/>
    <w:rsid w:val="00B96528"/>
    <w:rsid w:val="00BA3D7B"/>
    <w:rsid w:val="00BB1007"/>
    <w:rsid w:val="00BB6C07"/>
    <w:rsid w:val="00BD068A"/>
    <w:rsid w:val="00BD2E0F"/>
    <w:rsid w:val="00BE6A99"/>
    <w:rsid w:val="00BF080F"/>
    <w:rsid w:val="00C1452C"/>
    <w:rsid w:val="00C160C2"/>
    <w:rsid w:val="00C20937"/>
    <w:rsid w:val="00C252B5"/>
    <w:rsid w:val="00C3130D"/>
    <w:rsid w:val="00C34DB1"/>
    <w:rsid w:val="00C4288D"/>
    <w:rsid w:val="00C445BC"/>
    <w:rsid w:val="00C603B7"/>
    <w:rsid w:val="00C6075B"/>
    <w:rsid w:val="00C63B7D"/>
    <w:rsid w:val="00C7440F"/>
    <w:rsid w:val="00C83D98"/>
    <w:rsid w:val="00C900A5"/>
    <w:rsid w:val="00C90B6A"/>
    <w:rsid w:val="00C92867"/>
    <w:rsid w:val="00C93E08"/>
    <w:rsid w:val="00C93ED7"/>
    <w:rsid w:val="00CB2A61"/>
    <w:rsid w:val="00CB68C4"/>
    <w:rsid w:val="00CC6430"/>
    <w:rsid w:val="00CD4524"/>
    <w:rsid w:val="00CD5F3F"/>
    <w:rsid w:val="00CE0339"/>
    <w:rsid w:val="00CE1329"/>
    <w:rsid w:val="00CE1C72"/>
    <w:rsid w:val="00CF305F"/>
    <w:rsid w:val="00D00D3A"/>
    <w:rsid w:val="00D00D70"/>
    <w:rsid w:val="00D02AFD"/>
    <w:rsid w:val="00D0300B"/>
    <w:rsid w:val="00D040FB"/>
    <w:rsid w:val="00D23807"/>
    <w:rsid w:val="00D24D5D"/>
    <w:rsid w:val="00D25A79"/>
    <w:rsid w:val="00D42ABD"/>
    <w:rsid w:val="00D4729B"/>
    <w:rsid w:val="00D53588"/>
    <w:rsid w:val="00D60AF4"/>
    <w:rsid w:val="00D74A0C"/>
    <w:rsid w:val="00D817DA"/>
    <w:rsid w:val="00DC4B6B"/>
    <w:rsid w:val="00DC77B8"/>
    <w:rsid w:val="00DD176B"/>
    <w:rsid w:val="00DD3EE7"/>
    <w:rsid w:val="00DD4692"/>
    <w:rsid w:val="00DE7414"/>
    <w:rsid w:val="00DF484E"/>
    <w:rsid w:val="00DF539B"/>
    <w:rsid w:val="00E0158D"/>
    <w:rsid w:val="00E057DB"/>
    <w:rsid w:val="00E10921"/>
    <w:rsid w:val="00E128B9"/>
    <w:rsid w:val="00E157E5"/>
    <w:rsid w:val="00E2290E"/>
    <w:rsid w:val="00E26130"/>
    <w:rsid w:val="00E26975"/>
    <w:rsid w:val="00E347E5"/>
    <w:rsid w:val="00E34B8A"/>
    <w:rsid w:val="00E34E85"/>
    <w:rsid w:val="00E42A8D"/>
    <w:rsid w:val="00E44205"/>
    <w:rsid w:val="00E67E87"/>
    <w:rsid w:val="00E72915"/>
    <w:rsid w:val="00E73D8E"/>
    <w:rsid w:val="00E8354F"/>
    <w:rsid w:val="00E84086"/>
    <w:rsid w:val="00E84D6F"/>
    <w:rsid w:val="00E90F74"/>
    <w:rsid w:val="00E92E4E"/>
    <w:rsid w:val="00E93CDC"/>
    <w:rsid w:val="00EA554B"/>
    <w:rsid w:val="00EA7F7C"/>
    <w:rsid w:val="00EB18E0"/>
    <w:rsid w:val="00EB2171"/>
    <w:rsid w:val="00EB2F85"/>
    <w:rsid w:val="00EB30A8"/>
    <w:rsid w:val="00EB4E63"/>
    <w:rsid w:val="00EB6EE2"/>
    <w:rsid w:val="00EC04D9"/>
    <w:rsid w:val="00EC3CAC"/>
    <w:rsid w:val="00EC518F"/>
    <w:rsid w:val="00ED3EA6"/>
    <w:rsid w:val="00ED5F07"/>
    <w:rsid w:val="00EE4CC6"/>
    <w:rsid w:val="00EE52FE"/>
    <w:rsid w:val="00EE605E"/>
    <w:rsid w:val="00EE6AD3"/>
    <w:rsid w:val="00EF1E9A"/>
    <w:rsid w:val="00F0094A"/>
    <w:rsid w:val="00F02627"/>
    <w:rsid w:val="00F06E5E"/>
    <w:rsid w:val="00F118CC"/>
    <w:rsid w:val="00F11C7E"/>
    <w:rsid w:val="00F13582"/>
    <w:rsid w:val="00F14674"/>
    <w:rsid w:val="00F200DB"/>
    <w:rsid w:val="00F21672"/>
    <w:rsid w:val="00F36DBF"/>
    <w:rsid w:val="00F372B3"/>
    <w:rsid w:val="00F37682"/>
    <w:rsid w:val="00F41076"/>
    <w:rsid w:val="00F54922"/>
    <w:rsid w:val="00F57845"/>
    <w:rsid w:val="00F6512B"/>
    <w:rsid w:val="00F655B3"/>
    <w:rsid w:val="00F70279"/>
    <w:rsid w:val="00F72925"/>
    <w:rsid w:val="00F76271"/>
    <w:rsid w:val="00F91F07"/>
    <w:rsid w:val="00F9246F"/>
    <w:rsid w:val="00F95618"/>
    <w:rsid w:val="00FA5A4C"/>
    <w:rsid w:val="00FB59D8"/>
    <w:rsid w:val="00FC3532"/>
    <w:rsid w:val="00FC3935"/>
    <w:rsid w:val="00FC53A0"/>
    <w:rsid w:val="00FC6111"/>
    <w:rsid w:val="00FD34DA"/>
    <w:rsid w:val="00FD5268"/>
    <w:rsid w:val="00FD544B"/>
    <w:rsid w:val="00FD7D57"/>
    <w:rsid w:val="00FE6452"/>
    <w:rsid w:val="00FF4CBB"/>
    <w:rsid w:val="03EA1CE0"/>
    <w:rsid w:val="0BC40ED3"/>
    <w:rsid w:val="0F9B760E"/>
    <w:rsid w:val="17C5475A"/>
    <w:rsid w:val="1CAC7E1F"/>
    <w:rsid w:val="1E257ACD"/>
    <w:rsid w:val="2CD53CE8"/>
    <w:rsid w:val="37311508"/>
    <w:rsid w:val="41DF5A85"/>
    <w:rsid w:val="5EA10DF2"/>
    <w:rsid w:val="63843D7C"/>
    <w:rsid w:val="727E12C6"/>
    <w:rsid w:val="77612D62"/>
    <w:rsid w:val="7AF40A2B"/>
    <w:rsid w:val="7D41733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numPr>
        <w:ilvl w:val="0"/>
        <w:numId w:val="1"/>
      </w:numPr>
      <w:spacing w:line="578" w:lineRule="auto"/>
      <w:outlineLvl w:val="0"/>
    </w:pPr>
    <w:rPr>
      <w:b/>
      <w:bCs/>
      <w:kern w:val="44"/>
      <w:sz w:val="28"/>
      <w:szCs w:val="44"/>
    </w:rPr>
  </w:style>
  <w:style w:type="paragraph" w:styleId="3">
    <w:name w:val="heading 2"/>
    <w:basedOn w:val="1"/>
    <w:next w:val="1"/>
    <w:link w:val="18"/>
    <w:unhideWhenUsed/>
    <w:qFormat/>
    <w:uiPriority w:val="9"/>
    <w:pPr>
      <w:keepNext/>
      <w:keepLines/>
      <w:spacing w:before="20" w:after="20" w:line="416" w:lineRule="auto"/>
      <w:outlineLvl w:val="1"/>
    </w:pPr>
    <w:rPr>
      <w:rFonts w:asciiTheme="majorHAnsi" w:hAnsiTheme="majorHAnsi" w:eastAsiaTheme="majorEastAsia" w:cstheme="majorBidi"/>
      <w:b/>
      <w:bCs/>
      <w:sz w:val="32"/>
      <w:szCs w:val="32"/>
    </w:rPr>
  </w:style>
  <w:style w:type="character" w:default="1" w:styleId="9">
    <w:name w:val="Default Paragraph Font"/>
    <w:unhideWhenUsed/>
    <w:qFormat/>
    <w:uiPriority w:val="1"/>
  </w:style>
  <w:style w:type="table" w:default="1" w:styleId="1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4">
    <w:name w:val="Balloon Text"/>
    <w:basedOn w:val="1"/>
    <w:link w:val="16"/>
    <w:unhideWhenUsed/>
    <w:qFormat/>
    <w:uiPriority w:val="99"/>
    <w:rPr>
      <w:sz w:val="18"/>
      <w:szCs w:val="18"/>
    </w:rPr>
  </w:style>
  <w:style w:type="paragraph" w:styleId="5">
    <w:name w:val="footer"/>
    <w:basedOn w:val="1"/>
    <w:link w:val="14"/>
    <w:unhideWhenUsed/>
    <w:qFormat/>
    <w:uiPriority w:val="0"/>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toc 2"/>
    <w:basedOn w:val="1"/>
    <w:next w:val="1"/>
    <w:unhideWhenUsed/>
    <w:qFormat/>
    <w:uiPriority w:val="39"/>
    <w:pPr>
      <w:ind w:left="420" w:leftChars="200"/>
    </w:pPr>
  </w:style>
  <w:style w:type="character" w:styleId="10">
    <w:name w:val="page number"/>
    <w:basedOn w:val="9"/>
    <w:qFormat/>
    <w:uiPriority w:val="0"/>
  </w:style>
  <w:style w:type="character" w:styleId="11">
    <w:name w:val="Hyperlink"/>
    <w:qFormat/>
    <w:uiPriority w:val="99"/>
    <w:rPr>
      <w:color w:val="0000FF"/>
      <w:u w:val="single"/>
    </w:rPr>
  </w:style>
  <w:style w:type="character" w:customStyle="1" w:styleId="13">
    <w:name w:val="页眉 Char"/>
    <w:basedOn w:val="9"/>
    <w:link w:val="6"/>
    <w:qFormat/>
    <w:uiPriority w:val="99"/>
    <w:rPr>
      <w:sz w:val="18"/>
      <w:szCs w:val="18"/>
    </w:rPr>
  </w:style>
  <w:style w:type="character" w:customStyle="1" w:styleId="14">
    <w:name w:val="页脚 Char"/>
    <w:basedOn w:val="9"/>
    <w:link w:val="5"/>
    <w:qFormat/>
    <w:uiPriority w:val="99"/>
    <w:rPr>
      <w:sz w:val="18"/>
      <w:szCs w:val="18"/>
    </w:rPr>
  </w:style>
  <w:style w:type="paragraph" w:customStyle="1" w:styleId="15">
    <w:name w:val="List Paragraph"/>
    <w:basedOn w:val="1"/>
    <w:qFormat/>
    <w:uiPriority w:val="34"/>
    <w:pPr>
      <w:ind w:firstLine="420" w:firstLineChars="200"/>
    </w:pPr>
    <w:rPr>
      <w:rFonts w:ascii="Calibri" w:hAnsi="Calibri"/>
      <w:szCs w:val="22"/>
    </w:rPr>
  </w:style>
  <w:style w:type="character" w:customStyle="1" w:styleId="16">
    <w:name w:val="批注框文本 Char"/>
    <w:basedOn w:val="9"/>
    <w:link w:val="4"/>
    <w:semiHidden/>
    <w:qFormat/>
    <w:uiPriority w:val="99"/>
    <w:rPr>
      <w:rFonts w:ascii="Times New Roman" w:hAnsi="Times New Roman" w:eastAsia="宋体" w:cs="Times New Roman"/>
      <w:sz w:val="18"/>
      <w:szCs w:val="18"/>
    </w:rPr>
  </w:style>
  <w:style w:type="character" w:customStyle="1" w:styleId="17">
    <w:name w:val="标题 1 Char"/>
    <w:basedOn w:val="9"/>
    <w:link w:val="2"/>
    <w:qFormat/>
    <w:uiPriority w:val="9"/>
    <w:rPr>
      <w:rFonts w:ascii="Times New Roman" w:hAnsi="Times New Roman" w:eastAsia="宋体" w:cs="Times New Roman"/>
      <w:b/>
      <w:bCs/>
      <w:kern w:val="44"/>
      <w:sz w:val="28"/>
      <w:szCs w:val="44"/>
    </w:rPr>
  </w:style>
  <w:style w:type="character" w:customStyle="1" w:styleId="18">
    <w:name w:val="标题 2 Char"/>
    <w:basedOn w:val="9"/>
    <w:link w:val="3"/>
    <w:qFormat/>
    <w:uiPriority w:val="9"/>
    <w:rPr>
      <w:rFonts w:asciiTheme="majorHAnsi" w:hAnsiTheme="majorHAnsi" w:eastAsiaTheme="majorEastAsia" w:cstheme="majorBidi"/>
      <w:b/>
      <w:bCs/>
      <w:sz w:val="32"/>
      <w:szCs w:val="32"/>
    </w:rPr>
  </w:style>
  <w:style w:type="paragraph" w:customStyle="1" w:styleId="19">
    <w:name w:val="TOC Heading"/>
    <w:basedOn w:val="2"/>
    <w:next w:val="1"/>
    <w:unhideWhenUsed/>
    <w:qFormat/>
    <w:uiPriority w:val="39"/>
    <w:pPr>
      <w:widowControl/>
      <w:numPr>
        <w:numId w:val="0"/>
      </w:numPr>
      <w:spacing w:before="480" w:line="276" w:lineRule="auto"/>
      <w:jc w:val="left"/>
      <w:outlineLvl w:val="9"/>
    </w:pPr>
    <w:rPr>
      <w:rFonts w:asciiTheme="majorHAnsi" w:hAnsiTheme="majorHAnsi" w:eastAsiaTheme="majorEastAsia" w:cstheme="majorBidi"/>
      <w:color w:val="366091" w:themeColor="accent1" w:themeShade="BF"/>
      <w:kern w:val="0"/>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DC1E9F-9A20-408D-9EC5-19E9F4D483AE}">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12</Pages>
  <Words>572</Words>
  <Characters>3262</Characters>
  <Lines>27</Lines>
  <Paragraphs>7</Paragraphs>
  <ScaleCrop>false</ScaleCrop>
  <LinksUpToDate>false</LinksUpToDate>
  <CharactersWithSpaces>3827</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2013-12-21T01:51:00Z</dcterms:created>
  <dc:creator>微软用户</dc:creator>
  <cp:lastModifiedBy>Administrator</cp:lastModifiedBy>
  <cp:lastPrinted>2015-01-13T10:07:00Z</cp:lastPrinted>
  <dcterms:modified xsi:type="dcterms:W3CDTF">2017-02-07T08:45:12Z</dcterms:modified>
  <cp:revision>464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